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4D58B" w14:textId="4C0FB06D" w:rsidR="003A3ED8" w:rsidRDefault="003A3ED8" w:rsidP="003A3ED8">
      <w:pPr>
        <w:spacing w:after="0" w:line="240" w:lineRule="auto"/>
        <w:rPr>
          <w:rFonts w:ascii="Times New Roman" w:hAnsi="Times New Roman" w:cs="Times New Roman"/>
          <w:b/>
          <w:sz w:val="24"/>
          <w:szCs w:val="24"/>
        </w:rPr>
      </w:pPr>
    </w:p>
    <w:p w14:paraId="10F02EBA" w14:textId="693D42FA" w:rsidR="00645C75" w:rsidRDefault="00645C75" w:rsidP="003A3ED8">
      <w:pPr>
        <w:spacing w:after="0" w:line="240" w:lineRule="auto"/>
        <w:rPr>
          <w:rFonts w:ascii="Times New Roman" w:hAnsi="Times New Roman" w:cs="Times New Roman"/>
          <w:b/>
          <w:sz w:val="24"/>
          <w:szCs w:val="24"/>
        </w:rPr>
      </w:pPr>
    </w:p>
    <w:p w14:paraId="6E3F4D81" w14:textId="0D8D4228" w:rsidR="00645C75" w:rsidRDefault="00645C75" w:rsidP="003A3ED8">
      <w:pPr>
        <w:spacing w:after="0" w:line="240" w:lineRule="auto"/>
        <w:rPr>
          <w:rFonts w:ascii="Times New Roman" w:hAnsi="Times New Roman" w:cs="Times New Roman"/>
          <w:b/>
          <w:sz w:val="24"/>
          <w:szCs w:val="24"/>
        </w:rPr>
      </w:pPr>
    </w:p>
    <w:p w14:paraId="7F2FA868" w14:textId="625CA09B" w:rsidR="00645C75" w:rsidRDefault="00645C75" w:rsidP="003A3ED8">
      <w:pPr>
        <w:spacing w:after="0" w:line="240" w:lineRule="auto"/>
        <w:rPr>
          <w:rFonts w:ascii="Times New Roman" w:hAnsi="Times New Roman" w:cs="Times New Roman"/>
          <w:b/>
          <w:sz w:val="24"/>
          <w:szCs w:val="24"/>
        </w:rPr>
      </w:pPr>
    </w:p>
    <w:p w14:paraId="168A39D8" w14:textId="4FD9DDA6" w:rsidR="00645C75" w:rsidRDefault="00645C75" w:rsidP="003A3ED8">
      <w:pPr>
        <w:spacing w:after="0" w:line="240" w:lineRule="auto"/>
        <w:rPr>
          <w:rFonts w:ascii="Times New Roman" w:hAnsi="Times New Roman" w:cs="Times New Roman"/>
          <w:b/>
          <w:sz w:val="24"/>
          <w:szCs w:val="24"/>
        </w:rPr>
      </w:pPr>
    </w:p>
    <w:p w14:paraId="7418FC66" w14:textId="7D97BFC0" w:rsidR="00645C75" w:rsidRDefault="00645C75" w:rsidP="003A3ED8">
      <w:pPr>
        <w:spacing w:after="0" w:line="240" w:lineRule="auto"/>
        <w:rPr>
          <w:rFonts w:ascii="Times New Roman" w:hAnsi="Times New Roman" w:cs="Times New Roman"/>
          <w:b/>
          <w:sz w:val="24"/>
          <w:szCs w:val="24"/>
        </w:rPr>
      </w:pPr>
    </w:p>
    <w:p w14:paraId="41A41BC4" w14:textId="4FCA0126" w:rsidR="00645C75" w:rsidRDefault="00645C75" w:rsidP="003A3ED8">
      <w:pPr>
        <w:spacing w:after="0" w:line="240" w:lineRule="auto"/>
        <w:rPr>
          <w:rFonts w:ascii="Times New Roman" w:hAnsi="Times New Roman" w:cs="Times New Roman"/>
          <w:b/>
          <w:sz w:val="24"/>
          <w:szCs w:val="24"/>
        </w:rPr>
      </w:pPr>
    </w:p>
    <w:p w14:paraId="139AEB92" w14:textId="394BEE92" w:rsidR="00645C75" w:rsidRDefault="00645C75" w:rsidP="003A3ED8">
      <w:pPr>
        <w:spacing w:after="0" w:line="240" w:lineRule="auto"/>
        <w:rPr>
          <w:rFonts w:ascii="Times New Roman" w:hAnsi="Times New Roman" w:cs="Times New Roman"/>
          <w:b/>
          <w:sz w:val="24"/>
          <w:szCs w:val="24"/>
        </w:rPr>
      </w:pPr>
    </w:p>
    <w:p w14:paraId="310C2929" w14:textId="3A93E6BB" w:rsidR="00645C75" w:rsidRDefault="00645C75" w:rsidP="003A3ED8">
      <w:pPr>
        <w:spacing w:after="0" w:line="240" w:lineRule="auto"/>
        <w:rPr>
          <w:rFonts w:ascii="Times New Roman" w:hAnsi="Times New Roman" w:cs="Times New Roman"/>
          <w:b/>
          <w:sz w:val="24"/>
          <w:szCs w:val="24"/>
        </w:rPr>
      </w:pPr>
    </w:p>
    <w:p w14:paraId="57076FCB" w14:textId="5358B31C" w:rsidR="00645C75" w:rsidRDefault="00645C75" w:rsidP="003A3ED8">
      <w:pPr>
        <w:spacing w:after="0" w:line="240" w:lineRule="auto"/>
        <w:rPr>
          <w:rFonts w:ascii="Times New Roman" w:hAnsi="Times New Roman" w:cs="Times New Roman"/>
          <w:b/>
          <w:sz w:val="24"/>
          <w:szCs w:val="24"/>
        </w:rPr>
      </w:pPr>
    </w:p>
    <w:p w14:paraId="0CDC1663" w14:textId="725385F0" w:rsidR="00645C75" w:rsidRDefault="00645C75" w:rsidP="003A3ED8">
      <w:pPr>
        <w:spacing w:after="0" w:line="240" w:lineRule="auto"/>
        <w:rPr>
          <w:rFonts w:ascii="Times New Roman" w:hAnsi="Times New Roman" w:cs="Times New Roman"/>
          <w:b/>
          <w:sz w:val="24"/>
          <w:szCs w:val="24"/>
        </w:rPr>
      </w:pPr>
    </w:p>
    <w:p w14:paraId="09464E50" w14:textId="69370BEE" w:rsidR="00645C75" w:rsidRDefault="00645C75" w:rsidP="003A3ED8">
      <w:pPr>
        <w:spacing w:after="0" w:line="240" w:lineRule="auto"/>
        <w:rPr>
          <w:rFonts w:ascii="Times New Roman" w:hAnsi="Times New Roman" w:cs="Times New Roman"/>
          <w:b/>
          <w:sz w:val="24"/>
          <w:szCs w:val="24"/>
        </w:rPr>
      </w:pPr>
    </w:p>
    <w:p w14:paraId="7FD1A47D" w14:textId="77777777" w:rsidR="00645C75" w:rsidRPr="00737C20" w:rsidRDefault="00645C75" w:rsidP="003A3ED8">
      <w:pPr>
        <w:spacing w:after="0" w:line="240" w:lineRule="auto"/>
        <w:rPr>
          <w:rFonts w:ascii="Times New Roman" w:hAnsi="Times New Roman" w:cs="Times New Roman"/>
          <w:b/>
          <w:sz w:val="24"/>
          <w:szCs w:val="24"/>
        </w:rPr>
      </w:pPr>
    </w:p>
    <w:p w14:paraId="1D4126CA" w14:textId="77777777" w:rsidR="003A3ED8" w:rsidRPr="00645C75" w:rsidRDefault="003A3ED8" w:rsidP="003A3ED8">
      <w:pPr>
        <w:spacing w:after="0" w:line="240" w:lineRule="auto"/>
        <w:rPr>
          <w:rFonts w:ascii="Times New Roman" w:hAnsi="Times New Roman" w:cs="Times New Roman"/>
          <w:b/>
          <w:sz w:val="36"/>
          <w:szCs w:val="36"/>
        </w:rPr>
      </w:pPr>
    </w:p>
    <w:p w14:paraId="2A90BAF9" w14:textId="77777777" w:rsidR="00645C75" w:rsidRDefault="003A3ED8" w:rsidP="003A3ED8">
      <w:pPr>
        <w:spacing w:after="0" w:line="240" w:lineRule="auto"/>
        <w:jc w:val="center"/>
        <w:rPr>
          <w:rFonts w:ascii="Times New Roman" w:hAnsi="Times New Roman" w:cs="Times New Roman"/>
          <w:b/>
          <w:sz w:val="36"/>
          <w:szCs w:val="36"/>
        </w:rPr>
      </w:pPr>
      <w:r w:rsidRPr="00645C75">
        <w:rPr>
          <w:rFonts w:ascii="Times New Roman" w:hAnsi="Times New Roman" w:cs="Times New Roman"/>
          <w:b/>
          <w:sz w:val="36"/>
          <w:szCs w:val="36"/>
        </w:rPr>
        <w:t xml:space="preserve">Доклад </w:t>
      </w:r>
    </w:p>
    <w:p w14:paraId="6779DF6F" w14:textId="28A0595B" w:rsidR="003A3ED8" w:rsidRPr="00645C75" w:rsidRDefault="003A3ED8" w:rsidP="003A3ED8">
      <w:pPr>
        <w:spacing w:after="0" w:line="240" w:lineRule="auto"/>
        <w:jc w:val="center"/>
        <w:rPr>
          <w:rFonts w:ascii="Times New Roman" w:hAnsi="Times New Roman" w:cs="Times New Roman"/>
          <w:b/>
          <w:sz w:val="36"/>
          <w:szCs w:val="36"/>
        </w:rPr>
      </w:pPr>
      <w:r w:rsidRPr="00645C75">
        <w:rPr>
          <w:rFonts w:ascii="Times New Roman" w:hAnsi="Times New Roman" w:cs="Times New Roman"/>
          <w:b/>
          <w:sz w:val="36"/>
          <w:szCs w:val="36"/>
        </w:rPr>
        <w:t xml:space="preserve">для общественных консультаций </w:t>
      </w:r>
    </w:p>
    <w:p w14:paraId="497D8D2D" w14:textId="742F32D5" w:rsidR="00925C2F" w:rsidRPr="00645C75" w:rsidRDefault="00925C2F" w:rsidP="00925C2F">
      <w:pPr>
        <w:pStyle w:val="ConsPlusTitle"/>
        <w:jc w:val="center"/>
        <w:rPr>
          <w:rFonts w:ascii="Times New Roman" w:hAnsi="Times New Roman" w:cs="Times New Roman"/>
          <w:sz w:val="36"/>
          <w:szCs w:val="36"/>
        </w:rPr>
      </w:pPr>
      <w:r w:rsidRPr="00645C75">
        <w:rPr>
          <w:rFonts w:ascii="Times New Roman" w:hAnsi="Times New Roman" w:cs="Times New Roman"/>
          <w:sz w:val="36"/>
          <w:szCs w:val="36"/>
        </w:rPr>
        <w:t xml:space="preserve">о совершенствовании концептуальных основ осуществления аудиторской деятельности во исполнение Плана мероприятий по реализации Концепции развития аудиторской деятельности в Российской Федерации до 2024 года </w:t>
      </w:r>
    </w:p>
    <w:p w14:paraId="51BE03F9" w14:textId="1F300B8E" w:rsidR="00704B35" w:rsidRPr="00645C75" w:rsidRDefault="00704B35" w:rsidP="00925C2F">
      <w:pPr>
        <w:pStyle w:val="ConsPlusTitle"/>
        <w:jc w:val="center"/>
        <w:rPr>
          <w:rFonts w:ascii="Times New Roman" w:hAnsi="Times New Roman" w:cs="Times New Roman"/>
          <w:sz w:val="36"/>
          <w:szCs w:val="36"/>
        </w:rPr>
      </w:pPr>
    </w:p>
    <w:p w14:paraId="1138115E" w14:textId="119E56B7" w:rsidR="00704B35" w:rsidRPr="00645C75" w:rsidRDefault="00704B35" w:rsidP="00925C2F">
      <w:pPr>
        <w:pStyle w:val="ConsPlusTitle"/>
        <w:jc w:val="center"/>
        <w:rPr>
          <w:rFonts w:ascii="Times New Roman" w:hAnsi="Times New Roman" w:cs="Times New Roman"/>
          <w:sz w:val="36"/>
          <w:szCs w:val="36"/>
        </w:rPr>
      </w:pPr>
    </w:p>
    <w:p w14:paraId="027158F1" w14:textId="102C7523" w:rsidR="00704B35" w:rsidRPr="00645C75" w:rsidRDefault="00704B35" w:rsidP="00925C2F">
      <w:pPr>
        <w:pStyle w:val="ConsPlusTitle"/>
        <w:jc w:val="center"/>
        <w:rPr>
          <w:rFonts w:ascii="Times New Roman" w:hAnsi="Times New Roman" w:cs="Times New Roman"/>
          <w:sz w:val="36"/>
          <w:szCs w:val="36"/>
        </w:rPr>
      </w:pPr>
    </w:p>
    <w:p w14:paraId="6DEA1D69" w14:textId="5E7A3E08" w:rsidR="00704B35" w:rsidRDefault="00704B35" w:rsidP="00925C2F">
      <w:pPr>
        <w:pStyle w:val="ConsPlusTitle"/>
        <w:jc w:val="center"/>
        <w:rPr>
          <w:rFonts w:ascii="Times New Roman" w:hAnsi="Times New Roman" w:cs="Times New Roman"/>
          <w:sz w:val="24"/>
          <w:szCs w:val="24"/>
        </w:rPr>
      </w:pPr>
    </w:p>
    <w:p w14:paraId="12AAA541" w14:textId="4BF2AC67" w:rsidR="00704B35" w:rsidRDefault="00704B35" w:rsidP="00925C2F">
      <w:pPr>
        <w:pStyle w:val="ConsPlusTitle"/>
        <w:jc w:val="center"/>
        <w:rPr>
          <w:rFonts w:ascii="Times New Roman" w:hAnsi="Times New Roman" w:cs="Times New Roman"/>
          <w:sz w:val="24"/>
          <w:szCs w:val="24"/>
        </w:rPr>
      </w:pPr>
    </w:p>
    <w:p w14:paraId="37CCB812" w14:textId="3FAFC3C6" w:rsidR="00704B35" w:rsidRDefault="00704B35" w:rsidP="00925C2F">
      <w:pPr>
        <w:pStyle w:val="ConsPlusTitle"/>
        <w:jc w:val="center"/>
        <w:rPr>
          <w:rFonts w:ascii="Times New Roman" w:hAnsi="Times New Roman" w:cs="Times New Roman"/>
          <w:sz w:val="24"/>
          <w:szCs w:val="24"/>
        </w:rPr>
      </w:pPr>
    </w:p>
    <w:p w14:paraId="54F6611D" w14:textId="4624B24A" w:rsidR="00704B35" w:rsidRDefault="00704B35" w:rsidP="00925C2F">
      <w:pPr>
        <w:pStyle w:val="ConsPlusTitle"/>
        <w:jc w:val="center"/>
        <w:rPr>
          <w:rFonts w:ascii="Times New Roman" w:hAnsi="Times New Roman" w:cs="Times New Roman"/>
          <w:sz w:val="24"/>
          <w:szCs w:val="24"/>
        </w:rPr>
      </w:pPr>
    </w:p>
    <w:p w14:paraId="08D8A6DD" w14:textId="3FAE39D7" w:rsidR="00704B35" w:rsidRDefault="00704B35" w:rsidP="00925C2F">
      <w:pPr>
        <w:pStyle w:val="ConsPlusTitle"/>
        <w:jc w:val="center"/>
        <w:rPr>
          <w:rFonts w:ascii="Times New Roman" w:hAnsi="Times New Roman" w:cs="Times New Roman"/>
          <w:sz w:val="24"/>
          <w:szCs w:val="24"/>
        </w:rPr>
      </w:pPr>
    </w:p>
    <w:p w14:paraId="19EDB7BD" w14:textId="344B6E89" w:rsidR="00704B35" w:rsidRDefault="00704B35" w:rsidP="00925C2F">
      <w:pPr>
        <w:pStyle w:val="ConsPlusTitle"/>
        <w:jc w:val="center"/>
        <w:rPr>
          <w:rFonts w:ascii="Times New Roman" w:hAnsi="Times New Roman" w:cs="Times New Roman"/>
          <w:sz w:val="24"/>
          <w:szCs w:val="24"/>
        </w:rPr>
      </w:pPr>
    </w:p>
    <w:p w14:paraId="4CDC4387" w14:textId="25D2221E" w:rsidR="00704B35" w:rsidRDefault="00704B35" w:rsidP="00925C2F">
      <w:pPr>
        <w:pStyle w:val="ConsPlusTitle"/>
        <w:jc w:val="center"/>
        <w:rPr>
          <w:rFonts w:ascii="Times New Roman" w:hAnsi="Times New Roman" w:cs="Times New Roman"/>
          <w:sz w:val="24"/>
          <w:szCs w:val="24"/>
        </w:rPr>
      </w:pPr>
    </w:p>
    <w:p w14:paraId="0973A5C7" w14:textId="601535B5" w:rsidR="00704B35" w:rsidRDefault="00704B35" w:rsidP="00925C2F">
      <w:pPr>
        <w:pStyle w:val="ConsPlusTitle"/>
        <w:jc w:val="center"/>
        <w:rPr>
          <w:rFonts w:ascii="Times New Roman" w:hAnsi="Times New Roman" w:cs="Times New Roman"/>
          <w:sz w:val="24"/>
          <w:szCs w:val="24"/>
        </w:rPr>
      </w:pPr>
    </w:p>
    <w:p w14:paraId="28BA514C" w14:textId="127F9299" w:rsidR="00704B35" w:rsidRDefault="00704B35" w:rsidP="00925C2F">
      <w:pPr>
        <w:pStyle w:val="ConsPlusTitle"/>
        <w:jc w:val="center"/>
        <w:rPr>
          <w:rFonts w:ascii="Times New Roman" w:hAnsi="Times New Roman" w:cs="Times New Roman"/>
          <w:sz w:val="24"/>
          <w:szCs w:val="24"/>
        </w:rPr>
      </w:pPr>
    </w:p>
    <w:p w14:paraId="4327C223" w14:textId="50614272" w:rsidR="00704B35" w:rsidRDefault="00704B35" w:rsidP="00925C2F">
      <w:pPr>
        <w:pStyle w:val="ConsPlusTitle"/>
        <w:jc w:val="center"/>
        <w:rPr>
          <w:rFonts w:ascii="Times New Roman" w:hAnsi="Times New Roman" w:cs="Times New Roman"/>
          <w:sz w:val="24"/>
          <w:szCs w:val="24"/>
        </w:rPr>
      </w:pPr>
    </w:p>
    <w:p w14:paraId="3E3EF996" w14:textId="3B8B781F" w:rsidR="00704B35" w:rsidRDefault="00704B35" w:rsidP="00925C2F">
      <w:pPr>
        <w:pStyle w:val="ConsPlusTitle"/>
        <w:jc w:val="center"/>
        <w:rPr>
          <w:rFonts w:ascii="Times New Roman" w:hAnsi="Times New Roman" w:cs="Times New Roman"/>
          <w:sz w:val="24"/>
          <w:szCs w:val="24"/>
        </w:rPr>
      </w:pPr>
    </w:p>
    <w:p w14:paraId="708C0018" w14:textId="07305E71" w:rsidR="00704B35" w:rsidRDefault="00704B35" w:rsidP="00925C2F">
      <w:pPr>
        <w:pStyle w:val="ConsPlusTitle"/>
        <w:jc w:val="center"/>
        <w:rPr>
          <w:rFonts w:ascii="Times New Roman" w:hAnsi="Times New Roman" w:cs="Times New Roman"/>
          <w:sz w:val="24"/>
          <w:szCs w:val="24"/>
        </w:rPr>
      </w:pPr>
    </w:p>
    <w:p w14:paraId="65A3B7D1" w14:textId="085B9821" w:rsidR="00704B35" w:rsidRDefault="00704B35" w:rsidP="00925C2F">
      <w:pPr>
        <w:pStyle w:val="ConsPlusTitle"/>
        <w:jc w:val="center"/>
        <w:rPr>
          <w:rFonts w:ascii="Times New Roman" w:hAnsi="Times New Roman" w:cs="Times New Roman"/>
          <w:sz w:val="24"/>
          <w:szCs w:val="24"/>
        </w:rPr>
      </w:pPr>
    </w:p>
    <w:p w14:paraId="3CE7E4A8" w14:textId="23386FD5" w:rsidR="00704B35" w:rsidRDefault="00704B35" w:rsidP="00925C2F">
      <w:pPr>
        <w:pStyle w:val="ConsPlusTitle"/>
        <w:jc w:val="center"/>
        <w:rPr>
          <w:rFonts w:ascii="Times New Roman" w:hAnsi="Times New Roman" w:cs="Times New Roman"/>
          <w:sz w:val="24"/>
          <w:szCs w:val="24"/>
        </w:rPr>
      </w:pPr>
    </w:p>
    <w:p w14:paraId="2B0CE843" w14:textId="77777777" w:rsidR="005D2C4A" w:rsidRDefault="005D2C4A" w:rsidP="00704B35">
      <w:pPr>
        <w:pStyle w:val="ConsPlusTitle"/>
        <w:jc w:val="center"/>
        <w:rPr>
          <w:rFonts w:ascii="Times New Roman" w:hAnsi="Times New Roman" w:cs="Times New Roman"/>
          <w:sz w:val="24"/>
          <w:szCs w:val="24"/>
        </w:rPr>
      </w:pPr>
    </w:p>
    <w:p w14:paraId="1C692D44" w14:textId="77777777" w:rsidR="00A8008F" w:rsidRPr="00737C20" w:rsidRDefault="00A8008F" w:rsidP="00A8008F">
      <w:pPr>
        <w:pStyle w:val="ConsPlusTitle"/>
        <w:jc w:val="center"/>
        <w:rPr>
          <w:rFonts w:ascii="Times New Roman" w:hAnsi="Times New Roman" w:cs="Times New Roman"/>
          <w:sz w:val="24"/>
          <w:szCs w:val="24"/>
        </w:rPr>
      </w:pPr>
      <w:r>
        <w:rPr>
          <w:rFonts w:ascii="Times New Roman" w:hAnsi="Times New Roman" w:cs="Times New Roman"/>
          <w:sz w:val="24"/>
          <w:szCs w:val="24"/>
        </w:rPr>
        <w:t>Москва - 2022</w:t>
      </w:r>
      <w:r w:rsidRPr="00737C20">
        <w:rPr>
          <w:rFonts w:ascii="Times New Roman" w:hAnsi="Times New Roman" w:cs="Times New Roman"/>
          <w:sz w:val="24"/>
          <w:szCs w:val="24"/>
        </w:rPr>
        <w:t xml:space="preserve"> </w:t>
      </w:r>
    </w:p>
    <w:p w14:paraId="16C8C2C2" w14:textId="77777777" w:rsidR="000D3FA6" w:rsidRDefault="00704B35" w:rsidP="00273C73">
      <w:pPr>
        <w:pStyle w:val="11"/>
        <w:rPr>
          <w:noProof/>
        </w:rPr>
      </w:pPr>
      <w:r>
        <w:br w:type="page"/>
      </w:r>
      <w:bookmarkStart w:id="0" w:name="_Toc121937462"/>
      <w:r w:rsidR="00273C73" w:rsidRPr="00737C20">
        <w:rPr>
          <w:rFonts w:ascii="Times New Roman" w:hAnsi="Times New Roman" w:cs="Times New Roman"/>
          <w:sz w:val="24"/>
          <w:szCs w:val="24"/>
        </w:rPr>
        <w:fldChar w:fldCharType="begin"/>
      </w:r>
      <w:r w:rsidR="00273C73" w:rsidRPr="00737C20">
        <w:rPr>
          <w:rFonts w:ascii="Times New Roman" w:hAnsi="Times New Roman" w:cs="Times New Roman"/>
          <w:sz w:val="24"/>
          <w:szCs w:val="24"/>
        </w:rPr>
        <w:instrText xml:space="preserve"> TOC \o "1-3" \h \z \u </w:instrText>
      </w:r>
      <w:r w:rsidR="00273C73" w:rsidRPr="00737C20">
        <w:rPr>
          <w:rFonts w:ascii="Times New Roman" w:hAnsi="Times New Roman" w:cs="Times New Roman"/>
          <w:sz w:val="24"/>
          <w:szCs w:val="24"/>
        </w:rPr>
        <w:fldChar w:fldCharType="separate"/>
      </w:r>
    </w:p>
    <w:p w14:paraId="2EE43EE8" w14:textId="77777777" w:rsidR="000D3FA6" w:rsidRDefault="00E152CE">
      <w:pPr>
        <w:pStyle w:val="11"/>
        <w:rPr>
          <w:rFonts w:eastAsiaTheme="minorEastAsia"/>
          <w:noProof/>
          <w:lang w:eastAsia="ru-RU"/>
        </w:rPr>
      </w:pPr>
      <w:hyperlink w:anchor="_Toc122443426" w:history="1">
        <w:r w:rsidR="000D3FA6" w:rsidRPr="00C56443">
          <w:rPr>
            <w:rStyle w:val="aa"/>
            <w:rFonts w:ascii="Times New Roman" w:hAnsi="Times New Roman" w:cs="Times New Roman"/>
            <w:noProof/>
          </w:rPr>
          <w:t>ВВЕДЕНИЕ</w:t>
        </w:r>
        <w:r w:rsidR="000D3FA6">
          <w:rPr>
            <w:noProof/>
            <w:webHidden/>
          </w:rPr>
          <w:tab/>
        </w:r>
        <w:r w:rsidR="000D3FA6">
          <w:rPr>
            <w:noProof/>
            <w:webHidden/>
          </w:rPr>
          <w:fldChar w:fldCharType="begin"/>
        </w:r>
        <w:r w:rsidR="000D3FA6">
          <w:rPr>
            <w:noProof/>
            <w:webHidden/>
          </w:rPr>
          <w:instrText xml:space="preserve"> PAGEREF _Toc122443426 \h </w:instrText>
        </w:r>
        <w:r w:rsidR="000D3FA6">
          <w:rPr>
            <w:noProof/>
            <w:webHidden/>
          </w:rPr>
        </w:r>
        <w:r w:rsidR="000D3FA6">
          <w:rPr>
            <w:noProof/>
            <w:webHidden/>
          </w:rPr>
          <w:fldChar w:fldCharType="separate"/>
        </w:r>
        <w:r w:rsidR="000D3FA6">
          <w:rPr>
            <w:noProof/>
            <w:webHidden/>
          </w:rPr>
          <w:t>3</w:t>
        </w:r>
        <w:r w:rsidR="000D3FA6">
          <w:rPr>
            <w:noProof/>
            <w:webHidden/>
          </w:rPr>
          <w:fldChar w:fldCharType="end"/>
        </w:r>
      </w:hyperlink>
    </w:p>
    <w:p w14:paraId="054E0720" w14:textId="77777777" w:rsidR="000D3FA6" w:rsidRDefault="00E152CE">
      <w:pPr>
        <w:pStyle w:val="11"/>
        <w:rPr>
          <w:rFonts w:eastAsiaTheme="minorEastAsia"/>
          <w:noProof/>
          <w:lang w:eastAsia="ru-RU"/>
        </w:rPr>
      </w:pPr>
      <w:hyperlink w:anchor="_Toc122443427" w:history="1">
        <w:r w:rsidR="000D3FA6" w:rsidRPr="00C56443">
          <w:rPr>
            <w:rStyle w:val="aa"/>
            <w:rFonts w:ascii="Times New Roman" w:hAnsi="Times New Roman" w:cs="Times New Roman"/>
            <w:noProof/>
          </w:rPr>
          <w:t>Раздел 1. Повестка устойчивого развития в России</w:t>
        </w:r>
        <w:r w:rsidR="000D3FA6">
          <w:rPr>
            <w:noProof/>
            <w:webHidden/>
          </w:rPr>
          <w:tab/>
        </w:r>
        <w:r w:rsidR="000D3FA6">
          <w:rPr>
            <w:noProof/>
            <w:webHidden/>
          </w:rPr>
          <w:fldChar w:fldCharType="begin"/>
        </w:r>
        <w:r w:rsidR="000D3FA6">
          <w:rPr>
            <w:noProof/>
            <w:webHidden/>
          </w:rPr>
          <w:instrText xml:space="preserve"> PAGEREF _Toc122443427 \h </w:instrText>
        </w:r>
        <w:r w:rsidR="000D3FA6">
          <w:rPr>
            <w:noProof/>
            <w:webHidden/>
          </w:rPr>
        </w:r>
        <w:r w:rsidR="000D3FA6">
          <w:rPr>
            <w:noProof/>
            <w:webHidden/>
          </w:rPr>
          <w:fldChar w:fldCharType="separate"/>
        </w:r>
        <w:r w:rsidR="000D3FA6">
          <w:rPr>
            <w:noProof/>
            <w:webHidden/>
          </w:rPr>
          <w:t>3</w:t>
        </w:r>
        <w:r w:rsidR="000D3FA6">
          <w:rPr>
            <w:noProof/>
            <w:webHidden/>
          </w:rPr>
          <w:fldChar w:fldCharType="end"/>
        </w:r>
      </w:hyperlink>
    </w:p>
    <w:p w14:paraId="1D741CFC" w14:textId="77777777" w:rsidR="000D3FA6" w:rsidRDefault="00E152CE">
      <w:pPr>
        <w:pStyle w:val="11"/>
        <w:rPr>
          <w:rFonts w:eastAsiaTheme="minorEastAsia"/>
          <w:noProof/>
          <w:lang w:eastAsia="ru-RU"/>
        </w:rPr>
      </w:pPr>
      <w:hyperlink w:anchor="_Toc122443428" w:history="1">
        <w:r w:rsidR="000D3FA6" w:rsidRPr="00C56443">
          <w:rPr>
            <w:rStyle w:val="aa"/>
            <w:rFonts w:ascii="Times New Roman" w:hAnsi="Times New Roman" w:cs="Times New Roman"/>
            <w:noProof/>
          </w:rPr>
          <w:t>Раздел 2. Описание текущей ситуации</w:t>
        </w:r>
        <w:r w:rsidR="000D3FA6">
          <w:rPr>
            <w:noProof/>
            <w:webHidden/>
          </w:rPr>
          <w:tab/>
        </w:r>
        <w:r w:rsidR="000D3FA6">
          <w:rPr>
            <w:noProof/>
            <w:webHidden/>
          </w:rPr>
          <w:fldChar w:fldCharType="begin"/>
        </w:r>
        <w:r w:rsidR="000D3FA6">
          <w:rPr>
            <w:noProof/>
            <w:webHidden/>
          </w:rPr>
          <w:instrText xml:space="preserve"> PAGEREF _Toc122443428 \h </w:instrText>
        </w:r>
        <w:r w:rsidR="000D3FA6">
          <w:rPr>
            <w:noProof/>
            <w:webHidden/>
          </w:rPr>
        </w:r>
        <w:r w:rsidR="000D3FA6">
          <w:rPr>
            <w:noProof/>
            <w:webHidden/>
          </w:rPr>
          <w:fldChar w:fldCharType="separate"/>
        </w:r>
        <w:r w:rsidR="000D3FA6">
          <w:rPr>
            <w:noProof/>
            <w:webHidden/>
          </w:rPr>
          <w:t>4</w:t>
        </w:r>
        <w:r w:rsidR="000D3FA6">
          <w:rPr>
            <w:noProof/>
            <w:webHidden/>
          </w:rPr>
          <w:fldChar w:fldCharType="end"/>
        </w:r>
      </w:hyperlink>
    </w:p>
    <w:p w14:paraId="0A88B888" w14:textId="77777777" w:rsidR="000D3FA6" w:rsidRDefault="00E152CE">
      <w:pPr>
        <w:pStyle w:val="11"/>
        <w:rPr>
          <w:rFonts w:eastAsiaTheme="minorEastAsia"/>
          <w:noProof/>
          <w:lang w:eastAsia="ru-RU"/>
        </w:rPr>
      </w:pPr>
      <w:hyperlink w:anchor="_Toc122443429" w:history="1">
        <w:r w:rsidR="000D3FA6" w:rsidRPr="00C56443">
          <w:rPr>
            <w:rStyle w:val="aa"/>
            <w:rFonts w:ascii="Times New Roman" w:hAnsi="Times New Roman" w:cs="Times New Roman"/>
            <w:noProof/>
          </w:rPr>
          <w:t>Раздел 3. Обобщение и анализ международной практики верификации/заверения нефинансовой информации</w:t>
        </w:r>
        <w:r w:rsidR="000D3FA6">
          <w:rPr>
            <w:noProof/>
            <w:webHidden/>
          </w:rPr>
          <w:tab/>
        </w:r>
        <w:r w:rsidR="000D3FA6">
          <w:rPr>
            <w:noProof/>
            <w:webHidden/>
          </w:rPr>
          <w:fldChar w:fldCharType="begin"/>
        </w:r>
        <w:r w:rsidR="000D3FA6">
          <w:rPr>
            <w:noProof/>
            <w:webHidden/>
          </w:rPr>
          <w:instrText xml:space="preserve"> PAGEREF _Toc122443429 \h </w:instrText>
        </w:r>
        <w:r w:rsidR="000D3FA6">
          <w:rPr>
            <w:noProof/>
            <w:webHidden/>
          </w:rPr>
        </w:r>
        <w:r w:rsidR="000D3FA6">
          <w:rPr>
            <w:noProof/>
            <w:webHidden/>
          </w:rPr>
          <w:fldChar w:fldCharType="separate"/>
        </w:r>
        <w:r w:rsidR="000D3FA6">
          <w:rPr>
            <w:noProof/>
            <w:webHidden/>
          </w:rPr>
          <w:t>7</w:t>
        </w:r>
        <w:r w:rsidR="000D3FA6">
          <w:rPr>
            <w:noProof/>
            <w:webHidden/>
          </w:rPr>
          <w:fldChar w:fldCharType="end"/>
        </w:r>
      </w:hyperlink>
    </w:p>
    <w:p w14:paraId="3A1BE9BC" w14:textId="77777777" w:rsidR="000D3FA6" w:rsidRDefault="00E152CE">
      <w:pPr>
        <w:pStyle w:val="11"/>
        <w:rPr>
          <w:rFonts w:eastAsiaTheme="minorEastAsia"/>
          <w:noProof/>
          <w:lang w:eastAsia="ru-RU"/>
        </w:rPr>
      </w:pPr>
      <w:hyperlink w:anchor="_Toc122443430" w:history="1">
        <w:r w:rsidR="000D3FA6" w:rsidRPr="00C56443">
          <w:rPr>
            <w:rStyle w:val="aa"/>
            <w:rFonts w:ascii="Times New Roman" w:hAnsi="Times New Roman" w:cs="Times New Roman"/>
            <w:noProof/>
          </w:rPr>
          <w:t>Раздел 4. Выводы и предложения по совершенствованию концептуальных основ осуществления аудиторской деятельности</w:t>
        </w:r>
        <w:r w:rsidR="000D3FA6">
          <w:rPr>
            <w:noProof/>
            <w:webHidden/>
          </w:rPr>
          <w:tab/>
        </w:r>
        <w:r w:rsidR="000D3FA6">
          <w:rPr>
            <w:noProof/>
            <w:webHidden/>
          </w:rPr>
          <w:fldChar w:fldCharType="begin"/>
        </w:r>
        <w:r w:rsidR="000D3FA6">
          <w:rPr>
            <w:noProof/>
            <w:webHidden/>
          </w:rPr>
          <w:instrText xml:space="preserve"> PAGEREF _Toc122443430 \h </w:instrText>
        </w:r>
        <w:r w:rsidR="000D3FA6">
          <w:rPr>
            <w:noProof/>
            <w:webHidden/>
          </w:rPr>
        </w:r>
        <w:r w:rsidR="000D3FA6">
          <w:rPr>
            <w:noProof/>
            <w:webHidden/>
          </w:rPr>
          <w:fldChar w:fldCharType="separate"/>
        </w:r>
        <w:r w:rsidR="000D3FA6">
          <w:rPr>
            <w:noProof/>
            <w:webHidden/>
          </w:rPr>
          <w:t>16</w:t>
        </w:r>
        <w:r w:rsidR="000D3FA6">
          <w:rPr>
            <w:noProof/>
            <w:webHidden/>
          </w:rPr>
          <w:fldChar w:fldCharType="end"/>
        </w:r>
      </w:hyperlink>
    </w:p>
    <w:p w14:paraId="5BE2B134" w14:textId="77777777" w:rsidR="000D3FA6" w:rsidRDefault="00E152CE">
      <w:pPr>
        <w:pStyle w:val="11"/>
        <w:rPr>
          <w:rFonts w:eastAsiaTheme="minorEastAsia"/>
          <w:noProof/>
          <w:lang w:eastAsia="ru-RU"/>
        </w:rPr>
      </w:pPr>
      <w:hyperlink w:anchor="_Toc122443431" w:history="1">
        <w:r w:rsidR="000D3FA6" w:rsidRPr="00C56443">
          <w:rPr>
            <w:rStyle w:val="aa"/>
            <w:rFonts w:ascii="Times New Roman" w:hAnsi="Times New Roman" w:cs="Times New Roman"/>
            <w:noProof/>
          </w:rPr>
          <w:t>Нормативное регулирование</w:t>
        </w:r>
        <w:r w:rsidR="000D3FA6">
          <w:rPr>
            <w:noProof/>
            <w:webHidden/>
          </w:rPr>
          <w:tab/>
        </w:r>
        <w:r w:rsidR="000D3FA6">
          <w:rPr>
            <w:noProof/>
            <w:webHidden/>
          </w:rPr>
          <w:fldChar w:fldCharType="begin"/>
        </w:r>
        <w:r w:rsidR="000D3FA6">
          <w:rPr>
            <w:noProof/>
            <w:webHidden/>
          </w:rPr>
          <w:instrText xml:space="preserve"> PAGEREF _Toc122443431 \h </w:instrText>
        </w:r>
        <w:r w:rsidR="000D3FA6">
          <w:rPr>
            <w:noProof/>
            <w:webHidden/>
          </w:rPr>
        </w:r>
        <w:r w:rsidR="000D3FA6">
          <w:rPr>
            <w:noProof/>
            <w:webHidden/>
          </w:rPr>
          <w:fldChar w:fldCharType="separate"/>
        </w:r>
        <w:r w:rsidR="000D3FA6">
          <w:rPr>
            <w:noProof/>
            <w:webHidden/>
          </w:rPr>
          <w:t>18</w:t>
        </w:r>
        <w:r w:rsidR="000D3FA6">
          <w:rPr>
            <w:noProof/>
            <w:webHidden/>
          </w:rPr>
          <w:fldChar w:fldCharType="end"/>
        </w:r>
      </w:hyperlink>
    </w:p>
    <w:p w14:paraId="22B504EA" w14:textId="77777777" w:rsidR="000D3FA6" w:rsidRDefault="00E152CE">
      <w:pPr>
        <w:pStyle w:val="11"/>
        <w:rPr>
          <w:rFonts w:eastAsiaTheme="minorEastAsia"/>
          <w:noProof/>
          <w:lang w:eastAsia="ru-RU"/>
        </w:rPr>
      </w:pPr>
      <w:hyperlink w:anchor="_Toc122443432" w:history="1">
        <w:r w:rsidR="000D3FA6" w:rsidRPr="00C56443">
          <w:rPr>
            <w:rStyle w:val="aa"/>
            <w:rFonts w:ascii="Times New Roman" w:hAnsi="Times New Roman" w:cs="Times New Roman"/>
            <w:noProof/>
          </w:rPr>
          <w:t>Список используемых сокращений</w:t>
        </w:r>
        <w:r w:rsidR="000D3FA6">
          <w:rPr>
            <w:noProof/>
            <w:webHidden/>
          </w:rPr>
          <w:tab/>
        </w:r>
        <w:r w:rsidR="000D3FA6">
          <w:rPr>
            <w:noProof/>
            <w:webHidden/>
          </w:rPr>
          <w:fldChar w:fldCharType="begin"/>
        </w:r>
        <w:r w:rsidR="000D3FA6">
          <w:rPr>
            <w:noProof/>
            <w:webHidden/>
          </w:rPr>
          <w:instrText xml:space="preserve"> PAGEREF _Toc122443432 \h </w:instrText>
        </w:r>
        <w:r w:rsidR="000D3FA6">
          <w:rPr>
            <w:noProof/>
            <w:webHidden/>
          </w:rPr>
        </w:r>
        <w:r w:rsidR="000D3FA6">
          <w:rPr>
            <w:noProof/>
            <w:webHidden/>
          </w:rPr>
          <w:fldChar w:fldCharType="separate"/>
        </w:r>
        <w:r w:rsidR="000D3FA6">
          <w:rPr>
            <w:noProof/>
            <w:webHidden/>
          </w:rPr>
          <w:t>21</w:t>
        </w:r>
        <w:r w:rsidR="000D3FA6">
          <w:rPr>
            <w:noProof/>
            <w:webHidden/>
          </w:rPr>
          <w:fldChar w:fldCharType="end"/>
        </w:r>
      </w:hyperlink>
    </w:p>
    <w:p w14:paraId="0398C8D9" w14:textId="5B885E23" w:rsidR="00704B35" w:rsidRDefault="00273C73" w:rsidP="00273C73">
      <w:pPr>
        <w:pStyle w:val="11"/>
        <w:rPr>
          <w:rFonts w:ascii="Times New Roman" w:eastAsiaTheme="majorEastAsia" w:hAnsi="Times New Roman" w:cs="Times New Roman"/>
          <w:b/>
          <w:bCs/>
          <w:color w:val="365F91" w:themeColor="accent1" w:themeShade="BF"/>
          <w:sz w:val="24"/>
          <w:szCs w:val="24"/>
        </w:rPr>
      </w:pPr>
      <w:r w:rsidRPr="00737C20">
        <w:rPr>
          <w:rFonts w:ascii="Times New Roman" w:hAnsi="Times New Roman" w:cs="Times New Roman"/>
          <w:sz w:val="24"/>
          <w:szCs w:val="24"/>
        </w:rPr>
        <w:fldChar w:fldCharType="end"/>
      </w:r>
      <w:r w:rsidR="00704B35">
        <w:rPr>
          <w:rFonts w:ascii="Times New Roman" w:hAnsi="Times New Roman" w:cs="Times New Roman"/>
          <w:sz w:val="24"/>
          <w:szCs w:val="24"/>
        </w:rPr>
        <w:br w:type="page"/>
      </w:r>
    </w:p>
    <w:p w14:paraId="0F6F2AAD" w14:textId="74B94BAB" w:rsidR="003A3ED8" w:rsidRPr="00737C20" w:rsidRDefault="003A3ED8" w:rsidP="000F67C2">
      <w:pPr>
        <w:pStyle w:val="1"/>
        <w:rPr>
          <w:rFonts w:ascii="Times New Roman" w:hAnsi="Times New Roman" w:cs="Times New Roman"/>
          <w:sz w:val="24"/>
          <w:szCs w:val="24"/>
        </w:rPr>
      </w:pPr>
      <w:bookmarkStart w:id="1" w:name="_Toc122443426"/>
      <w:r w:rsidRPr="00737C20">
        <w:rPr>
          <w:rFonts w:ascii="Times New Roman" w:hAnsi="Times New Roman" w:cs="Times New Roman"/>
          <w:sz w:val="24"/>
          <w:szCs w:val="24"/>
        </w:rPr>
        <w:t>ВВЕДЕНИЕ</w:t>
      </w:r>
      <w:bookmarkEnd w:id="0"/>
      <w:bookmarkEnd w:id="1"/>
    </w:p>
    <w:p w14:paraId="36C4EB04" w14:textId="77777777" w:rsidR="003A3ED8" w:rsidRPr="00737C20" w:rsidRDefault="003A3ED8" w:rsidP="00925C2F">
      <w:pPr>
        <w:spacing w:after="0" w:line="240" w:lineRule="auto"/>
        <w:jc w:val="both"/>
        <w:rPr>
          <w:rFonts w:ascii="Times New Roman" w:hAnsi="Times New Roman" w:cs="Times New Roman"/>
          <w:b/>
          <w:color w:val="004620"/>
          <w:sz w:val="24"/>
          <w:szCs w:val="24"/>
        </w:rPr>
      </w:pPr>
    </w:p>
    <w:p w14:paraId="0327539B" w14:textId="745CFDC6" w:rsidR="00E8495A" w:rsidRPr="00737C20" w:rsidRDefault="003A3ED8" w:rsidP="00E8495A">
      <w:pPr>
        <w:spacing w:after="0" w:line="240" w:lineRule="auto"/>
        <w:ind w:firstLine="709"/>
        <w:jc w:val="both"/>
        <w:rPr>
          <w:rFonts w:ascii="Times New Roman" w:hAnsi="Times New Roman" w:cs="Times New Roman"/>
          <w:color w:val="000000" w:themeColor="text1"/>
          <w:sz w:val="24"/>
          <w:szCs w:val="24"/>
        </w:rPr>
      </w:pPr>
      <w:r w:rsidRPr="00737C20">
        <w:rPr>
          <w:rFonts w:ascii="Times New Roman" w:hAnsi="Times New Roman" w:cs="Times New Roman"/>
          <w:color w:val="000000" w:themeColor="text1"/>
          <w:sz w:val="24"/>
          <w:szCs w:val="24"/>
        </w:rPr>
        <w:t xml:space="preserve">Концепцией развития аудиторской деятельности в Российской Федерации до </w:t>
      </w:r>
      <w:r w:rsidR="00737C20">
        <w:rPr>
          <w:rFonts w:ascii="Times New Roman" w:hAnsi="Times New Roman" w:cs="Times New Roman"/>
          <w:color w:val="000000" w:themeColor="text1"/>
          <w:sz w:val="24"/>
          <w:szCs w:val="24"/>
        </w:rPr>
        <w:t xml:space="preserve">    </w:t>
      </w:r>
      <w:r w:rsidRPr="00737C20">
        <w:rPr>
          <w:rFonts w:ascii="Times New Roman" w:hAnsi="Times New Roman" w:cs="Times New Roman"/>
          <w:color w:val="000000" w:themeColor="text1"/>
          <w:sz w:val="24"/>
          <w:szCs w:val="24"/>
        </w:rPr>
        <w:t>2024 года, утвержденной распоряжением Правительства Российской Федерации от 31 декабря 2020 г. № 3709-р</w:t>
      </w:r>
      <w:r w:rsidR="003C07CA">
        <w:rPr>
          <w:rFonts w:ascii="Times New Roman" w:hAnsi="Times New Roman" w:cs="Times New Roman"/>
          <w:color w:val="000000" w:themeColor="text1"/>
          <w:sz w:val="24"/>
          <w:szCs w:val="24"/>
        </w:rPr>
        <w:t xml:space="preserve"> </w:t>
      </w:r>
      <w:r w:rsidR="003C07CA" w:rsidRPr="003C07CA">
        <w:rPr>
          <w:rFonts w:ascii="Times New Roman" w:hAnsi="Times New Roman" w:cs="Times New Roman"/>
          <w:color w:val="000000" w:themeColor="text1"/>
          <w:sz w:val="24"/>
          <w:szCs w:val="24"/>
        </w:rPr>
        <w:t>[8]</w:t>
      </w:r>
      <w:r w:rsidRPr="00737C20">
        <w:rPr>
          <w:rFonts w:ascii="Times New Roman" w:hAnsi="Times New Roman" w:cs="Times New Roman"/>
          <w:color w:val="000000" w:themeColor="text1"/>
          <w:sz w:val="24"/>
          <w:szCs w:val="24"/>
        </w:rPr>
        <w:t xml:space="preserve">, </w:t>
      </w:r>
      <w:r w:rsidR="00925C2F" w:rsidRPr="00737C20">
        <w:rPr>
          <w:rFonts w:ascii="Times New Roman" w:hAnsi="Times New Roman" w:cs="Times New Roman"/>
          <w:color w:val="000000" w:themeColor="text1"/>
          <w:sz w:val="24"/>
          <w:szCs w:val="24"/>
        </w:rPr>
        <w:t>определены приоритетные направления развития аудиторской деятельности</w:t>
      </w:r>
      <w:r w:rsidR="00E8495A" w:rsidRPr="00737C20">
        <w:rPr>
          <w:rFonts w:ascii="Times New Roman" w:hAnsi="Times New Roman" w:cs="Times New Roman"/>
          <w:color w:val="000000" w:themeColor="text1"/>
          <w:sz w:val="24"/>
          <w:szCs w:val="24"/>
        </w:rPr>
        <w:t xml:space="preserve">. </w:t>
      </w:r>
    </w:p>
    <w:p w14:paraId="2456825C" w14:textId="6678C66E" w:rsidR="00925C2F" w:rsidRPr="00737C20" w:rsidRDefault="00E8495A" w:rsidP="00E8495A">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В целях совершенствования основ функционирования рынка аудиторских услуг необходимо уточнение предмета и сферы аудиторской деятельности</w:t>
      </w:r>
      <w:r>
        <w:rPr>
          <w:rFonts w:ascii="Times New Roman" w:hAnsi="Times New Roman" w:cs="Times New Roman"/>
          <w:sz w:val="24"/>
          <w:szCs w:val="24"/>
        </w:rPr>
        <w:t xml:space="preserve"> </w:t>
      </w:r>
      <w:r w:rsidRPr="00737C20">
        <w:rPr>
          <w:rFonts w:ascii="Times New Roman" w:hAnsi="Times New Roman" w:cs="Times New Roman"/>
          <w:sz w:val="24"/>
          <w:szCs w:val="24"/>
        </w:rPr>
        <w:t xml:space="preserve"> исходя из современных потребностей заказчиков аудиторских услуг, уровня развития науки и практики аудиторской деятельности</w:t>
      </w:r>
      <w:r w:rsidR="00925C2F" w:rsidRPr="00737C20">
        <w:rPr>
          <w:rFonts w:ascii="Times New Roman" w:hAnsi="Times New Roman" w:cs="Times New Roman"/>
          <w:sz w:val="24"/>
          <w:szCs w:val="24"/>
        </w:rPr>
        <w:t>, в том числе посредством расширения предмета аудиторской деятельности, диверсификации оказываемых аудиторскими организациями, индивидуальными аудиторами услуг, в частности</w:t>
      </w:r>
      <w:r w:rsidR="00737C20">
        <w:rPr>
          <w:rFonts w:ascii="Times New Roman" w:hAnsi="Times New Roman" w:cs="Times New Roman"/>
          <w:sz w:val="24"/>
          <w:szCs w:val="24"/>
        </w:rPr>
        <w:t xml:space="preserve">, </w:t>
      </w:r>
      <w:r w:rsidR="00925C2F" w:rsidRPr="00737C20">
        <w:rPr>
          <w:rFonts w:ascii="Times New Roman" w:hAnsi="Times New Roman" w:cs="Times New Roman"/>
          <w:sz w:val="24"/>
          <w:szCs w:val="24"/>
        </w:rPr>
        <w:t>расширения практики выполнения заданий, обеспечивающих уверенность в достоверности нефинансовой отчетности и иной информации.</w:t>
      </w:r>
    </w:p>
    <w:p w14:paraId="25D3D6BE" w14:textId="77777777" w:rsidR="003A3ED8" w:rsidRPr="00737C20" w:rsidRDefault="003A3ED8" w:rsidP="003A3ED8">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 xml:space="preserve">Настоящий доклад подготовлен с целью организации и проведения общественных консультаций по поводу </w:t>
      </w:r>
      <w:r w:rsidR="00167F14" w:rsidRPr="00737C20">
        <w:rPr>
          <w:rFonts w:ascii="Times New Roman" w:hAnsi="Times New Roman" w:cs="Times New Roman"/>
          <w:sz w:val="24"/>
          <w:szCs w:val="24"/>
        </w:rPr>
        <w:t>уточнения предмета и сферы аудиторской деятельности в части расширения практики выполнения заданий, обеспечивающих уверенность в достоверности нефинансовой отчетности и иной информации.</w:t>
      </w:r>
    </w:p>
    <w:p w14:paraId="4AE21043" w14:textId="23015E56" w:rsidR="003A3ED8" w:rsidRPr="00737C20" w:rsidRDefault="003A3ED8" w:rsidP="003A3ED8">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 xml:space="preserve">В докладе </w:t>
      </w:r>
      <w:r w:rsidR="00731A97" w:rsidRPr="00737C20">
        <w:rPr>
          <w:rFonts w:ascii="Times New Roman" w:hAnsi="Times New Roman" w:cs="Times New Roman"/>
          <w:sz w:val="24"/>
          <w:szCs w:val="24"/>
        </w:rPr>
        <w:t xml:space="preserve">рассмотрена </w:t>
      </w:r>
      <w:r w:rsidR="00E8495A" w:rsidRPr="00737C20">
        <w:rPr>
          <w:rFonts w:ascii="Times New Roman" w:hAnsi="Times New Roman" w:cs="Times New Roman"/>
          <w:sz w:val="24"/>
          <w:szCs w:val="24"/>
        </w:rPr>
        <w:t>нормативная база</w:t>
      </w:r>
      <w:r w:rsidR="00FB0B40">
        <w:rPr>
          <w:rFonts w:ascii="Times New Roman" w:hAnsi="Times New Roman" w:cs="Times New Roman"/>
          <w:sz w:val="24"/>
          <w:szCs w:val="24"/>
        </w:rPr>
        <w:t xml:space="preserve"> </w:t>
      </w:r>
      <w:r w:rsidR="003E330C">
        <w:rPr>
          <w:rFonts w:ascii="Times New Roman" w:hAnsi="Times New Roman" w:cs="Times New Roman"/>
          <w:sz w:val="24"/>
          <w:szCs w:val="24"/>
        </w:rPr>
        <w:t>Российской Федерации</w:t>
      </w:r>
      <w:r w:rsidR="00731A97" w:rsidRPr="00737C20">
        <w:rPr>
          <w:rFonts w:ascii="Times New Roman" w:hAnsi="Times New Roman" w:cs="Times New Roman"/>
          <w:sz w:val="24"/>
          <w:szCs w:val="24"/>
        </w:rPr>
        <w:t>, регулирующая деятельность в сфере</w:t>
      </w:r>
      <w:r w:rsidRPr="00737C20">
        <w:rPr>
          <w:rFonts w:ascii="Times New Roman" w:hAnsi="Times New Roman" w:cs="Times New Roman"/>
          <w:sz w:val="24"/>
          <w:szCs w:val="24"/>
        </w:rPr>
        <w:t xml:space="preserve"> </w:t>
      </w:r>
      <w:r w:rsidR="00731A97" w:rsidRPr="00737C20">
        <w:rPr>
          <w:rFonts w:ascii="Times New Roman" w:hAnsi="Times New Roman" w:cs="Times New Roman"/>
          <w:sz w:val="24"/>
          <w:szCs w:val="24"/>
        </w:rPr>
        <w:t>выполнения заданий, обеспечивающих уверенность в достоверности нефинансовой отчетности и иной информации,</w:t>
      </w:r>
      <w:r w:rsidRPr="00737C20">
        <w:rPr>
          <w:rFonts w:ascii="Times New Roman" w:hAnsi="Times New Roman" w:cs="Times New Roman"/>
          <w:sz w:val="24"/>
          <w:szCs w:val="24"/>
        </w:rPr>
        <w:t xml:space="preserve"> </w:t>
      </w:r>
      <w:r w:rsidR="00731A97" w:rsidRPr="00737C20">
        <w:rPr>
          <w:rFonts w:ascii="Times New Roman" w:hAnsi="Times New Roman" w:cs="Times New Roman"/>
          <w:sz w:val="24"/>
          <w:szCs w:val="24"/>
        </w:rPr>
        <w:t>обобщена соответствующая международная практика, проанализированы запросы ключевых заинтересованных лиц</w:t>
      </w:r>
      <w:r w:rsidR="003E330C">
        <w:rPr>
          <w:rFonts w:ascii="Times New Roman" w:hAnsi="Times New Roman" w:cs="Times New Roman"/>
          <w:sz w:val="24"/>
          <w:szCs w:val="24"/>
        </w:rPr>
        <w:t>.</w:t>
      </w:r>
      <w:r w:rsidR="00731A97" w:rsidRPr="00737C20">
        <w:rPr>
          <w:rFonts w:ascii="Times New Roman" w:hAnsi="Times New Roman" w:cs="Times New Roman"/>
          <w:sz w:val="24"/>
          <w:szCs w:val="24"/>
        </w:rPr>
        <w:t xml:space="preserve"> </w:t>
      </w:r>
    </w:p>
    <w:p w14:paraId="5D96C0FD" w14:textId="77777777" w:rsidR="003A3ED8" w:rsidRPr="00737C20" w:rsidRDefault="003A3ED8" w:rsidP="003A3ED8">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 xml:space="preserve">Для обеспечения целенаправленного обсуждения </w:t>
      </w:r>
      <w:r w:rsidR="00737C20" w:rsidRPr="00737C20">
        <w:rPr>
          <w:rFonts w:ascii="Times New Roman" w:hAnsi="Times New Roman" w:cs="Times New Roman"/>
          <w:sz w:val="24"/>
          <w:szCs w:val="24"/>
        </w:rPr>
        <w:t xml:space="preserve">данной </w:t>
      </w:r>
      <w:r w:rsidRPr="00737C20">
        <w:rPr>
          <w:rFonts w:ascii="Times New Roman" w:hAnsi="Times New Roman" w:cs="Times New Roman"/>
          <w:sz w:val="24"/>
          <w:szCs w:val="24"/>
        </w:rPr>
        <w:t>темы</w:t>
      </w:r>
      <w:r w:rsidR="00737C20" w:rsidRPr="00737C20">
        <w:rPr>
          <w:rFonts w:ascii="Times New Roman" w:hAnsi="Times New Roman" w:cs="Times New Roman"/>
          <w:sz w:val="24"/>
          <w:szCs w:val="24"/>
        </w:rPr>
        <w:t xml:space="preserve"> настоящий доклад будет опубликован СРО ААС для </w:t>
      </w:r>
      <w:r w:rsidRPr="00737C20">
        <w:rPr>
          <w:rFonts w:ascii="Times New Roman" w:hAnsi="Times New Roman" w:cs="Times New Roman"/>
          <w:sz w:val="24"/>
          <w:szCs w:val="24"/>
        </w:rPr>
        <w:t xml:space="preserve">общественных консультаций. </w:t>
      </w:r>
    </w:p>
    <w:p w14:paraId="7B76A444" w14:textId="487AC584" w:rsidR="003A3ED8" w:rsidRPr="00737C20" w:rsidRDefault="003A3ED8" w:rsidP="00731A97">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 xml:space="preserve">По результатам </w:t>
      </w:r>
      <w:r w:rsidR="00737C20" w:rsidRPr="00737C20">
        <w:rPr>
          <w:rFonts w:ascii="Times New Roman" w:hAnsi="Times New Roman" w:cs="Times New Roman"/>
          <w:sz w:val="24"/>
          <w:szCs w:val="24"/>
        </w:rPr>
        <w:t xml:space="preserve">общественных консультаций </w:t>
      </w:r>
      <w:r w:rsidRPr="00737C20">
        <w:rPr>
          <w:rFonts w:ascii="Times New Roman" w:hAnsi="Times New Roman" w:cs="Times New Roman"/>
          <w:sz w:val="24"/>
          <w:szCs w:val="24"/>
        </w:rPr>
        <w:t xml:space="preserve">будут подготовлены предложения по </w:t>
      </w:r>
      <w:r w:rsidR="00731A97" w:rsidRPr="00737C20">
        <w:rPr>
          <w:rFonts w:ascii="Times New Roman" w:hAnsi="Times New Roman" w:cs="Times New Roman"/>
          <w:sz w:val="24"/>
          <w:szCs w:val="24"/>
        </w:rPr>
        <w:t xml:space="preserve">внесению изменений в </w:t>
      </w:r>
      <w:r w:rsidR="00FB0B40" w:rsidRPr="00FB0B40">
        <w:rPr>
          <w:rFonts w:ascii="Times New Roman" w:hAnsi="Times New Roman" w:cs="Times New Roman"/>
          <w:sz w:val="24"/>
          <w:szCs w:val="24"/>
        </w:rPr>
        <w:t>законодательны</w:t>
      </w:r>
      <w:r w:rsidR="00FB0B40">
        <w:rPr>
          <w:rFonts w:ascii="Times New Roman" w:hAnsi="Times New Roman" w:cs="Times New Roman"/>
          <w:sz w:val="24"/>
          <w:szCs w:val="24"/>
        </w:rPr>
        <w:t>е</w:t>
      </w:r>
      <w:r w:rsidR="00FB0B40" w:rsidRPr="00FB0B40">
        <w:rPr>
          <w:rFonts w:ascii="Times New Roman" w:hAnsi="Times New Roman" w:cs="Times New Roman"/>
          <w:sz w:val="24"/>
          <w:szCs w:val="24"/>
        </w:rPr>
        <w:t xml:space="preserve"> и ины</w:t>
      </w:r>
      <w:r w:rsidR="00FB0B40">
        <w:rPr>
          <w:rFonts w:ascii="Times New Roman" w:hAnsi="Times New Roman" w:cs="Times New Roman"/>
          <w:sz w:val="24"/>
          <w:szCs w:val="24"/>
        </w:rPr>
        <w:t>е</w:t>
      </w:r>
      <w:r w:rsidR="00FB0B40" w:rsidRPr="00FB0B40">
        <w:rPr>
          <w:rFonts w:ascii="Times New Roman" w:hAnsi="Times New Roman" w:cs="Times New Roman"/>
          <w:sz w:val="24"/>
          <w:szCs w:val="24"/>
        </w:rPr>
        <w:t xml:space="preserve"> нормативны</w:t>
      </w:r>
      <w:r w:rsidR="00FB0B40">
        <w:rPr>
          <w:rFonts w:ascii="Times New Roman" w:hAnsi="Times New Roman" w:cs="Times New Roman"/>
          <w:sz w:val="24"/>
          <w:szCs w:val="24"/>
        </w:rPr>
        <w:t>е</w:t>
      </w:r>
      <w:r w:rsidR="00FB0B40" w:rsidRPr="00FB0B40">
        <w:rPr>
          <w:rFonts w:ascii="Times New Roman" w:hAnsi="Times New Roman" w:cs="Times New Roman"/>
          <w:sz w:val="24"/>
          <w:szCs w:val="24"/>
        </w:rPr>
        <w:t xml:space="preserve"> правовы</w:t>
      </w:r>
      <w:r w:rsidR="00FB0B40">
        <w:rPr>
          <w:rFonts w:ascii="Times New Roman" w:hAnsi="Times New Roman" w:cs="Times New Roman"/>
          <w:sz w:val="24"/>
          <w:szCs w:val="24"/>
        </w:rPr>
        <w:t>е</w:t>
      </w:r>
      <w:r w:rsidR="00FB0B40" w:rsidRPr="00FB0B40">
        <w:rPr>
          <w:rFonts w:ascii="Times New Roman" w:hAnsi="Times New Roman" w:cs="Times New Roman"/>
          <w:sz w:val="24"/>
          <w:szCs w:val="24"/>
        </w:rPr>
        <w:t xml:space="preserve"> акт</w:t>
      </w:r>
      <w:r w:rsidR="00FB0B40">
        <w:rPr>
          <w:rFonts w:ascii="Times New Roman" w:hAnsi="Times New Roman" w:cs="Times New Roman"/>
          <w:sz w:val="24"/>
          <w:szCs w:val="24"/>
        </w:rPr>
        <w:t>ы</w:t>
      </w:r>
      <w:r w:rsidR="00FB0B40">
        <w:t xml:space="preserve"> </w:t>
      </w:r>
      <w:r w:rsidR="00731A97" w:rsidRPr="00737C20">
        <w:rPr>
          <w:rFonts w:ascii="Times New Roman" w:hAnsi="Times New Roman" w:cs="Times New Roman"/>
          <w:sz w:val="24"/>
          <w:szCs w:val="24"/>
        </w:rPr>
        <w:t xml:space="preserve">Российской Федерации </w:t>
      </w:r>
      <w:r w:rsidR="003E330C">
        <w:rPr>
          <w:rFonts w:ascii="Times New Roman" w:hAnsi="Times New Roman" w:cs="Times New Roman"/>
          <w:sz w:val="24"/>
          <w:szCs w:val="24"/>
        </w:rPr>
        <w:t>по</w:t>
      </w:r>
      <w:r w:rsidR="00731A97" w:rsidRPr="00737C20">
        <w:rPr>
          <w:rFonts w:ascii="Times New Roman" w:hAnsi="Times New Roman" w:cs="Times New Roman"/>
          <w:sz w:val="24"/>
          <w:szCs w:val="24"/>
        </w:rPr>
        <w:t xml:space="preserve"> уточнени</w:t>
      </w:r>
      <w:r w:rsidR="003E330C">
        <w:rPr>
          <w:rFonts w:ascii="Times New Roman" w:hAnsi="Times New Roman" w:cs="Times New Roman"/>
          <w:sz w:val="24"/>
          <w:szCs w:val="24"/>
        </w:rPr>
        <w:t>ю</w:t>
      </w:r>
      <w:r w:rsidR="00731A97" w:rsidRPr="00737C20">
        <w:rPr>
          <w:rFonts w:ascii="Times New Roman" w:hAnsi="Times New Roman" w:cs="Times New Roman"/>
          <w:sz w:val="24"/>
          <w:szCs w:val="24"/>
        </w:rPr>
        <w:t xml:space="preserve"> предмета и сферы аудиторской деятельности в части расширения практики выполнения заданий, обеспечивающих уверенность в достоверности нефинансовой отчетности и иной информации.</w:t>
      </w:r>
    </w:p>
    <w:p w14:paraId="1188B64C" w14:textId="5B18091D" w:rsidR="00737C20" w:rsidRDefault="003A3ED8" w:rsidP="00737C20">
      <w:pPr>
        <w:pStyle w:val="1"/>
        <w:rPr>
          <w:rFonts w:ascii="Times New Roman" w:hAnsi="Times New Roman" w:cs="Times New Roman"/>
          <w:sz w:val="24"/>
          <w:szCs w:val="24"/>
        </w:rPr>
      </w:pPr>
      <w:bookmarkStart w:id="2" w:name="_Toc121937463"/>
      <w:bookmarkStart w:id="3" w:name="_Toc122443427"/>
      <w:r w:rsidRPr="00737C20">
        <w:rPr>
          <w:rFonts w:ascii="Times New Roman" w:hAnsi="Times New Roman" w:cs="Times New Roman"/>
          <w:sz w:val="24"/>
          <w:szCs w:val="24"/>
        </w:rPr>
        <w:t xml:space="preserve">Раздел 1. </w:t>
      </w:r>
      <w:r w:rsidR="00C211F0" w:rsidRPr="00737C20">
        <w:rPr>
          <w:rFonts w:ascii="Times New Roman" w:hAnsi="Times New Roman" w:cs="Times New Roman"/>
          <w:sz w:val="24"/>
          <w:szCs w:val="24"/>
        </w:rPr>
        <w:t>Повестка устойчивого развития в</w:t>
      </w:r>
      <w:r w:rsidR="00C13395" w:rsidRPr="00737C20">
        <w:rPr>
          <w:rFonts w:ascii="Times New Roman" w:hAnsi="Times New Roman" w:cs="Times New Roman"/>
          <w:sz w:val="24"/>
          <w:szCs w:val="24"/>
        </w:rPr>
        <w:t xml:space="preserve"> России</w:t>
      </w:r>
      <w:bookmarkEnd w:id="2"/>
      <w:bookmarkEnd w:id="3"/>
      <w:r w:rsidR="00C13395" w:rsidRPr="00737C20">
        <w:rPr>
          <w:rFonts w:ascii="Times New Roman" w:hAnsi="Times New Roman" w:cs="Times New Roman"/>
          <w:sz w:val="24"/>
          <w:szCs w:val="24"/>
        </w:rPr>
        <w:t xml:space="preserve"> </w:t>
      </w:r>
    </w:p>
    <w:p w14:paraId="44C6432C" w14:textId="77777777" w:rsidR="00737C20" w:rsidRPr="00737C20" w:rsidRDefault="00737C20" w:rsidP="00737C20"/>
    <w:p w14:paraId="050BC65B" w14:textId="77777777" w:rsidR="00C37E37" w:rsidRPr="00737C20" w:rsidRDefault="00C37E37" w:rsidP="00E83025">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 xml:space="preserve">Успешная предпринимательская деятельность и развитие бизнеса неразрывно связаны с </w:t>
      </w:r>
      <w:r w:rsidR="00737C20">
        <w:rPr>
          <w:rFonts w:ascii="Times New Roman" w:hAnsi="Times New Roman" w:cs="Times New Roman"/>
          <w:sz w:val="24"/>
          <w:szCs w:val="24"/>
        </w:rPr>
        <w:t xml:space="preserve">вопросами устойчивого развития, </w:t>
      </w:r>
      <w:r w:rsidRPr="00737C20">
        <w:rPr>
          <w:rFonts w:ascii="Times New Roman" w:hAnsi="Times New Roman" w:cs="Times New Roman"/>
          <w:sz w:val="24"/>
          <w:szCs w:val="24"/>
        </w:rPr>
        <w:t>которые</w:t>
      </w:r>
      <w:r w:rsidR="00737C20">
        <w:rPr>
          <w:rFonts w:ascii="Times New Roman" w:hAnsi="Times New Roman" w:cs="Times New Roman"/>
          <w:sz w:val="24"/>
          <w:szCs w:val="24"/>
        </w:rPr>
        <w:t>,</w:t>
      </w:r>
      <w:r w:rsidRPr="00737C20">
        <w:rPr>
          <w:rFonts w:ascii="Times New Roman" w:hAnsi="Times New Roman" w:cs="Times New Roman"/>
          <w:sz w:val="24"/>
          <w:szCs w:val="24"/>
        </w:rPr>
        <w:t xml:space="preserve"> несмотря на текущие условия высокой неопределенности</w:t>
      </w:r>
      <w:r w:rsidR="00737C20">
        <w:rPr>
          <w:rFonts w:ascii="Times New Roman" w:hAnsi="Times New Roman" w:cs="Times New Roman"/>
          <w:sz w:val="24"/>
          <w:szCs w:val="24"/>
        </w:rPr>
        <w:t>,</w:t>
      </w:r>
      <w:r w:rsidRPr="00737C20">
        <w:rPr>
          <w:rFonts w:ascii="Times New Roman" w:hAnsi="Times New Roman" w:cs="Times New Roman"/>
          <w:sz w:val="24"/>
          <w:szCs w:val="24"/>
        </w:rPr>
        <w:t xml:space="preserve"> остаются актуальными. Под влиянием современных геополитических и экономических изменений происходит трансформация ESG - повестки, уточняются приоритеты, меняются подходы к решению задач.</w:t>
      </w:r>
    </w:p>
    <w:p w14:paraId="2FC53C98" w14:textId="2BF1575C" w:rsidR="00C211F0" w:rsidRPr="00737C20" w:rsidRDefault="00C211F0" w:rsidP="00737C20">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В условиях обострения экономических рисков для многих компаний сегодня ключевая задача заключается в сохран</w:t>
      </w:r>
      <w:r w:rsidR="00C35715">
        <w:rPr>
          <w:rFonts w:ascii="Times New Roman" w:hAnsi="Times New Roman" w:cs="Times New Roman"/>
          <w:sz w:val="24"/>
          <w:szCs w:val="24"/>
        </w:rPr>
        <w:t>ен</w:t>
      </w:r>
      <w:r w:rsidRPr="00737C20">
        <w:rPr>
          <w:rFonts w:ascii="Times New Roman" w:hAnsi="Times New Roman" w:cs="Times New Roman"/>
          <w:sz w:val="24"/>
          <w:szCs w:val="24"/>
        </w:rPr>
        <w:t>и</w:t>
      </w:r>
      <w:r w:rsidR="00C35715">
        <w:rPr>
          <w:rFonts w:ascii="Times New Roman" w:hAnsi="Times New Roman" w:cs="Times New Roman"/>
          <w:sz w:val="24"/>
          <w:szCs w:val="24"/>
        </w:rPr>
        <w:t>и</w:t>
      </w:r>
      <w:r w:rsidRPr="00737C20">
        <w:rPr>
          <w:rFonts w:ascii="Times New Roman" w:hAnsi="Times New Roman" w:cs="Times New Roman"/>
          <w:sz w:val="24"/>
          <w:szCs w:val="24"/>
        </w:rPr>
        <w:t xml:space="preserve"> бизнес</w:t>
      </w:r>
      <w:r w:rsidR="00C35715">
        <w:rPr>
          <w:rFonts w:ascii="Times New Roman" w:hAnsi="Times New Roman" w:cs="Times New Roman"/>
          <w:sz w:val="24"/>
          <w:szCs w:val="24"/>
        </w:rPr>
        <w:t>а</w:t>
      </w:r>
      <w:r w:rsidRPr="00737C20">
        <w:rPr>
          <w:rFonts w:ascii="Times New Roman" w:hAnsi="Times New Roman" w:cs="Times New Roman"/>
          <w:sz w:val="24"/>
          <w:szCs w:val="24"/>
        </w:rPr>
        <w:t xml:space="preserve">, </w:t>
      </w:r>
      <w:r w:rsidR="00C37E37" w:rsidRPr="00737C20">
        <w:rPr>
          <w:rFonts w:ascii="Times New Roman" w:hAnsi="Times New Roman" w:cs="Times New Roman"/>
          <w:sz w:val="24"/>
          <w:szCs w:val="24"/>
        </w:rPr>
        <w:t>обеспеч</w:t>
      </w:r>
      <w:r w:rsidR="00C35715">
        <w:rPr>
          <w:rFonts w:ascii="Times New Roman" w:hAnsi="Times New Roman" w:cs="Times New Roman"/>
          <w:sz w:val="24"/>
          <w:szCs w:val="24"/>
        </w:rPr>
        <w:t>ен</w:t>
      </w:r>
      <w:r w:rsidR="00C37E37" w:rsidRPr="00737C20">
        <w:rPr>
          <w:rFonts w:ascii="Times New Roman" w:hAnsi="Times New Roman" w:cs="Times New Roman"/>
          <w:sz w:val="24"/>
          <w:szCs w:val="24"/>
        </w:rPr>
        <w:t>и</w:t>
      </w:r>
      <w:r w:rsidR="00C35715">
        <w:rPr>
          <w:rFonts w:ascii="Times New Roman" w:hAnsi="Times New Roman" w:cs="Times New Roman"/>
          <w:sz w:val="24"/>
          <w:szCs w:val="24"/>
        </w:rPr>
        <w:t>и</w:t>
      </w:r>
      <w:r w:rsidR="00C37E37" w:rsidRPr="00737C20">
        <w:rPr>
          <w:rFonts w:ascii="Times New Roman" w:hAnsi="Times New Roman" w:cs="Times New Roman"/>
          <w:sz w:val="24"/>
          <w:szCs w:val="24"/>
        </w:rPr>
        <w:t xml:space="preserve"> устойчивост</w:t>
      </w:r>
      <w:r w:rsidR="00C35715">
        <w:rPr>
          <w:rFonts w:ascii="Times New Roman" w:hAnsi="Times New Roman" w:cs="Times New Roman"/>
          <w:sz w:val="24"/>
          <w:szCs w:val="24"/>
        </w:rPr>
        <w:t>и</w:t>
      </w:r>
      <w:r w:rsidR="00C37E37" w:rsidRPr="00737C20">
        <w:rPr>
          <w:rFonts w:ascii="Times New Roman" w:hAnsi="Times New Roman" w:cs="Times New Roman"/>
          <w:sz w:val="24"/>
          <w:szCs w:val="24"/>
        </w:rPr>
        <w:t xml:space="preserve"> и </w:t>
      </w:r>
      <w:r w:rsidRPr="00737C20">
        <w:rPr>
          <w:rFonts w:ascii="Times New Roman" w:hAnsi="Times New Roman" w:cs="Times New Roman"/>
          <w:sz w:val="24"/>
          <w:szCs w:val="24"/>
        </w:rPr>
        <w:t>созда</w:t>
      </w:r>
      <w:r w:rsidR="00C35715">
        <w:rPr>
          <w:rFonts w:ascii="Times New Roman" w:hAnsi="Times New Roman" w:cs="Times New Roman"/>
          <w:sz w:val="24"/>
          <w:szCs w:val="24"/>
        </w:rPr>
        <w:t>нии</w:t>
      </w:r>
      <w:r w:rsidRPr="00737C20">
        <w:rPr>
          <w:rFonts w:ascii="Times New Roman" w:hAnsi="Times New Roman" w:cs="Times New Roman"/>
          <w:sz w:val="24"/>
          <w:szCs w:val="24"/>
        </w:rPr>
        <w:t xml:space="preserve"> основ</w:t>
      </w:r>
      <w:r w:rsidR="00C35715">
        <w:rPr>
          <w:rFonts w:ascii="Times New Roman" w:hAnsi="Times New Roman" w:cs="Times New Roman"/>
          <w:sz w:val="24"/>
          <w:szCs w:val="24"/>
        </w:rPr>
        <w:t>ы</w:t>
      </w:r>
      <w:r w:rsidRPr="00737C20">
        <w:rPr>
          <w:rFonts w:ascii="Times New Roman" w:hAnsi="Times New Roman" w:cs="Times New Roman"/>
          <w:sz w:val="24"/>
          <w:szCs w:val="24"/>
        </w:rPr>
        <w:t xml:space="preserve"> для дальнейшего развития и роста</w:t>
      </w:r>
      <w:r w:rsidR="00C37E37" w:rsidRPr="00737C20">
        <w:rPr>
          <w:rFonts w:ascii="Times New Roman" w:hAnsi="Times New Roman" w:cs="Times New Roman"/>
          <w:sz w:val="24"/>
          <w:szCs w:val="24"/>
        </w:rPr>
        <w:t xml:space="preserve">, что напрямую </w:t>
      </w:r>
      <w:r w:rsidRPr="00737C20">
        <w:rPr>
          <w:rFonts w:ascii="Times New Roman" w:hAnsi="Times New Roman" w:cs="Times New Roman"/>
          <w:sz w:val="24"/>
          <w:szCs w:val="24"/>
        </w:rPr>
        <w:t>связано с социальными, экологическими, управленческими аспектами деятельности компаний</w:t>
      </w:r>
      <w:r w:rsidR="00C37E37" w:rsidRPr="00737C20">
        <w:rPr>
          <w:rFonts w:ascii="Times New Roman" w:hAnsi="Times New Roman" w:cs="Times New Roman"/>
          <w:sz w:val="24"/>
          <w:szCs w:val="24"/>
        </w:rPr>
        <w:t>.</w:t>
      </w:r>
      <w:r w:rsidRPr="00737C20">
        <w:rPr>
          <w:rFonts w:ascii="Times New Roman" w:hAnsi="Times New Roman" w:cs="Times New Roman"/>
          <w:sz w:val="24"/>
          <w:szCs w:val="24"/>
        </w:rPr>
        <w:t xml:space="preserve"> </w:t>
      </w:r>
      <w:r w:rsidR="00C37E37" w:rsidRPr="00737C20">
        <w:rPr>
          <w:rFonts w:ascii="Times New Roman" w:hAnsi="Times New Roman" w:cs="Times New Roman"/>
          <w:sz w:val="24"/>
          <w:szCs w:val="24"/>
        </w:rPr>
        <w:t>Э</w:t>
      </w:r>
      <w:r w:rsidRPr="00737C20">
        <w:rPr>
          <w:rFonts w:ascii="Times New Roman" w:hAnsi="Times New Roman" w:cs="Times New Roman"/>
          <w:sz w:val="24"/>
          <w:szCs w:val="24"/>
        </w:rPr>
        <w:t>ти факторы играют важную роль как в решении текущих задач – сохранение производства, рабочих мест, цепочки поставок, так и в контексте дальнейшего устойчивого развития. В сложившихся условиях возникает потребность определить наиболее важные направления деятельности и основные аспекты, эффективные подходы к решению оперативных, тактических и стратегических задач с учетом имеющихся возможностей и</w:t>
      </w:r>
      <w:r w:rsidR="00C37E37" w:rsidRPr="00737C20">
        <w:rPr>
          <w:rFonts w:ascii="Times New Roman" w:hAnsi="Times New Roman" w:cs="Times New Roman"/>
          <w:sz w:val="24"/>
          <w:szCs w:val="24"/>
        </w:rPr>
        <w:t xml:space="preserve"> ограничений</w:t>
      </w:r>
      <w:r w:rsidRPr="00737C20">
        <w:rPr>
          <w:rFonts w:ascii="Times New Roman" w:hAnsi="Times New Roman" w:cs="Times New Roman"/>
          <w:sz w:val="24"/>
          <w:szCs w:val="24"/>
        </w:rPr>
        <w:t>.</w:t>
      </w:r>
    </w:p>
    <w:p w14:paraId="3CB25B27" w14:textId="77777777" w:rsidR="00C211F0" w:rsidRPr="00737C20" w:rsidRDefault="00C211F0" w:rsidP="003564F2">
      <w:pPr>
        <w:spacing w:line="240" w:lineRule="auto"/>
        <w:jc w:val="both"/>
        <w:rPr>
          <w:rFonts w:ascii="Times New Roman" w:hAnsi="Times New Roman" w:cs="Times New Roman"/>
          <w:sz w:val="24"/>
          <w:szCs w:val="24"/>
        </w:rPr>
      </w:pPr>
      <w:r w:rsidRPr="00737C20">
        <w:rPr>
          <w:rFonts w:ascii="Times New Roman" w:hAnsi="Times New Roman" w:cs="Times New Roman"/>
          <w:sz w:val="24"/>
          <w:szCs w:val="24"/>
        </w:rPr>
        <w:tab/>
      </w:r>
      <w:r w:rsidR="003564F2" w:rsidRPr="00737C20">
        <w:rPr>
          <w:rFonts w:ascii="Times New Roman" w:hAnsi="Times New Roman" w:cs="Times New Roman"/>
          <w:sz w:val="24"/>
          <w:szCs w:val="24"/>
        </w:rPr>
        <w:t xml:space="preserve">Информация о целях, подходах и результатах деятельности организаций по всем существенным вопросам социальной ответственности и устойчивого развития содержится в публичной нефинансовой отчетности, которая является важным элементом системы управления и развития коммуникаций с заинтересованными сторонами, предпосылкой повышения эффективности и укрепления конкурентоспособности организаций. </w:t>
      </w:r>
      <w:r w:rsidR="00C35715" w:rsidRPr="00737C20">
        <w:rPr>
          <w:rFonts w:ascii="Times New Roman" w:hAnsi="Times New Roman" w:cs="Times New Roman"/>
          <w:sz w:val="24"/>
          <w:szCs w:val="24"/>
        </w:rPr>
        <w:t>Прозрачность нефинансовых аспектов деятельности компаний позволяет на качественно ином уровне производить оценку рисков и судить об их долгосрочной устойчивости.</w:t>
      </w:r>
    </w:p>
    <w:p w14:paraId="215FA908" w14:textId="64B12B9A" w:rsidR="005F4850" w:rsidRDefault="00C37E37" w:rsidP="00C35715">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П</w:t>
      </w:r>
      <w:r w:rsidR="00AA6602" w:rsidRPr="00737C20">
        <w:rPr>
          <w:rFonts w:ascii="Times New Roman" w:hAnsi="Times New Roman" w:cs="Times New Roman"/>
          <w:sz w:val="24"/>
          <w:szCs w:val="24"/>
        </w:rPr>
        <w:t>ользователями нефинансовой отчетности является широки</w:t>
      </w:r>
      <w:r w:rsidRPr="00737C20">
        <w:rPr>
          <w:rFonts w:ascii="Times New Roman" w:hAnsi="Times New Roman" w:cs="Times New Roman"/>
          <w:sz w:val="24"/>
          <w:szCs w:val="24"/>
        </w:rPr>
        <w:t xml:space="preserve">й круг заинтересованных сторон, которые используют различную информацию, содержащуюся в отчетах,  для принятия решений. Основными внешними стейкхолдерами отчетности являются акционеры и инвесторы, бизнес-аналитики и рейтинговые агентства, потребители и поставщики, государственные органы и регуляторы, местные сообщества и </w:t>
      </w:r>
      <w:r w:rsidR="00E83025" w:rsidRPr="00737C20">
        <w:rPr>
          <w:rFonts w:ascii="Times New Roman" w:hAnsi="Times New Roman" w:cs="Times New Roman"/>
          <w:sz w:val="24"/>
          <w:szCs w:val="24"/>
        </w:rPr>
        <w:t xml:space="preserve">общественные организации, эксперты. К внутренним заинтересованным сторонам относятся сотрудники, профсоюзы, менеджмент. </w:t>
      </w:r>
    </w:p>
    <w:p w14:paraId="6DE464C8" w14:textId="77777777" w:rsidR="005F4850" w:rsidRDefault="00E83025" w:rsidP="005F4850">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 xml:space="preserve">Содержание отчетной информации должно удовлетворять запросам всех заинтересованных сторон. </w:t>
      </w:r>
    </w:p>
    <w:p w14:paraId="6DFB346E" w14:textId="1F40C9AD" w:rsidR="00E83025" w:rsidRPr="00737C20" w:rsidRDefault="00737C20" w:rsidP="00E8302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C37E37" w:rsidRPr="00737C20">
        <w:rPr>
          <w:rFonts w:ascii="Times New Roman" w:hAnsi="Times New Roman" w:cs="Times New Roman"/>
          <w:sz w:val="24"/>
          <w:szCs w:val="24"/>
        </w:rPr>
        <w:t xml:space="preserve">беспечение достоверности нефинансовой отчетности для повышения доверия пользователей – одна из задач, стоящих перед менеджментом компании. </w:t>
      </w:r>
      <w:r w:rsidR="00E83025" w:rsidRPr="00737C20">
        <w:rPr>
          <w:rFonts w:ascii="Times New Roman" w:hAnsi="Times New Roman" w:cs="Times New Roman"/>
          <w:sz w:val="24"/>
          <w:szCs w:val="24"/>
        </w:rPr>
        <w:t>Наиболее надежным способом обеспечения уверенности в корректности нефинансовой информации является независимое заверение</w:t>
      </w:r>
      <w:r w:rsidR="005D2C4A">
        <w:rPr>
          <w:rFonts w:ascii="Times New Roman" w:hAnsi="Times New Roman" w:cs="Times New Roman"/>
          <w:sz w:val="24"/>
          <w:szCs w:val="24"/>
        </w:rPr>
        <w:t xml:space="preserve"> (</w:t>
      </w:r>
      <w:r w:rsidR="008B549F" w:rsidRPr="00737C20">
        <w:rPr>
          <w:rFonts w:ascii="Times New Roman" w:hAnsi="Times New Roman" w:cs="Times New Roman"/>
          <w:sz w:val="24"/>
          <w:szCs w:val="24"/>
        </w:rPr>
        <w:t>верификация</w:t>
      </w:r>
      <w:r w:rsidR="005D2C4A">
        <w:rPr>
          <w:rStyle w:val="af2"/>
          <w:rFonts w:ascii="Times New Roman" w:hAnsi="Times New Roman" w:cs="Times New Roman"/>
          <w:sz w:val="24"/>
          <w:szCs w:val="24"/>
        </w:rPr>
        <w:footnoteReference w:id="1"/>
      </w:r>
      <w:r w:rsidR="005D2C4A">
        <w:rPr>
          <w:rFonts w:ascii="Times New Roman" w:hAnsi="Times New Roman" w:cs="Times New Roman"/>
          <w:sz w:val="24"/>
          <w:szCs w:val="24"/>
        </w:rPr>
        <w:t>)</w:t>
      </w:r>
      <w:r w:rsidR="00E83025" w:rsidRPr="00737C20">
        <w:rPr>
          <w:rFonts w:ascii="Times New Roman" w:hAnsi="Times New Roman" w:cs="Times New Roman"/>
          <w:sz w:val="24"/>
          <w:szCs w:val="24"/>
        </w:rPr>
        <w:t xml:space="preserve"> отчетности профессиональным аудитором. </w:t>
      </w:r>
    </w:p>
    <w:p w14:paraId="59174FD4" w14:textId="79FA03E9" w:rsidR="00C211F0" w:rsidRDefault="00C211F0" w:rsidP="00C211F0">
      <w:pPr>
        <w:pStyle w:val="1"/>
        <w:rPr>
          <w:rFonts w:ascii="Times New Roman" w:hAnsi="Times New Roman" w:cs="Times New Roman"/>
          <w:sz w:val="24"/>
          <w:szCs w:val="24"/>
        </w:rPr>
      </w:pPr>
      <w:bookmarkStart w:id="4" w:name="_Toc121937464"/>
      <w:bookmarkStart w:id="5" w:name="_Toc122443428"/>
      <w:r w:rsidRPr="00737C20">
        <w:rPr>
          <w:rFonts w:ascii="Times New Roman" w:hAnsi="Times New Roman" w:cs="Times New Roman"/>
          <w:sz w:val="24"/>
          <w:szCs w:val="24"/>
        </w:rPr>
        <w:t>Раздел 2. Описание текущей ситуации</w:t>
      </w:r>
      <w:bookmarkEnd w:id="4"/>
      <w:bookmarkEnd w:id="5"/>
    </w:p>
    <w:p w14:paraId="6E5E5932" w14:textId="77777777" w:rsidR="00737C20" w:rsidRDefault="00737C20" w:rsidP="00737C20">
      <w:pPr>
        <w:spacing w:line="240" w:lineRule="auto"/>
        <w:jc w:val="both"/>
      </w:pPr>
    </w:p>
    <w:p w14:paraId="3490C38F" w14:textId="4B1A0AAD" w:rsidR="00737C20" w:rsidRDefault="007F25C7" w:rsidP="00737C20">
      <w:pPr>
        <w:spacing w:line="240" w:lineRule="auto"/>
        <w:ind w:firstLine="540"/>
        <w:jc w:val="both"/>
        <w:rPr>
          <w:rFonts w:ascii="Times New Roman" w:hAnsi="Times New Roman" w:cs="Times New Roman"/>
          <w:sz w:val="24"/>
          <w:szCs w:val="24"/>
        </w:rPr>
      </w:pPr>
      <w:r w:rsidRPr="00737C20">
        <w:rPr>
          <w:rFonts w:ascii="Times New Roman" w:hAnsi="Times New Roman" w:cs="Times New Roman"/>
          <w:sz w:val="24"/>
          <w:szCs w:val="24"/>
        </w:rPr>
        <w:t xml:space="preserve">В Российской Федерации действует утвержденная Распоряжением Правительства Российской Федерации от 5 мая 2017 года № 876-р </w:t>
      </w:r>
      <w:hyperlink r:id="rId8" w:history="1">
        <w:r w:rsidRPr="00737C20">
          <w:rPr>
            <w:rFonts w:ascii="Times New Roman" w:hAnsi="Times New Roman" w:cs="Times New Roman"/>
            <w:sz w:val="24"/>
            <w:szCs w:val="24"/>
          </w:rPr>
          <w:t>Концепция развития публичной нефинансовой отчетности</w:t>
        </w:r>
      </w:hyperlink>
      <w:r w:rsidR="003C07CA" w:rsidRPr="003C07CA">
        <w:rPr>
          <w:rFonts w:ascii="Times New Roman" w:hAnsi="Times New Roman" w:cs="Times New Roman"/>
          <w:sz w:val="24"/>
          <w:szCs w:val="24"/>
        </w:rPr>
        <w:t xml:space="preserve"> [9]</w:t>
      </w:r>
      <w:r w:rsidRPr="00737C20">
        <w:rPr>
          <w:rFonts w:ascii="Times New Roman" w:hAnsi="Times New Roman" w:cs="Times New Roman"/>
          <w:sz w:val="24"/>
          <w:szCs w:val="24"/>
        </w:rPr>
        <w:t xml:space="preserve">. План реализации Концепции включает создание и развитие системы нормативного правового регулирования и методического обеспечения публичной нефинансовой отчётности. Во исполнение данного пункта плана в 2019 году </w:t>
      </w:r>
      <w:r w:rsidR="00D80111">
        <w:rPr>
          <w:rFonts w:ascii="Times New Roman" w:hAnsi="Times New Roman" w:cs="Times New Roman"/>
          <w:sz w:val="24"/>
          <w:szCs w:val="24"/>
        </w:rPr>
        <w:t xml:space="preserve">Министерством экономического развития Российской Федерации </w:t>
      </w:r>
      <w:r w:rsidRPr="00737C20">
        <w:rPr>
          <w:rFonts w:ascii="Times New Roman" w:hAnsi="Times New Roman" w:cs="Times New Roman"/>
          <w:sz w:val="24"/>
          <w:szCs w:val="24"/>
        </w:rPr>
        <w:t xml:space="preserve">были разработаны проекты Федерального закона «О публичной нефинансовой отчетности» и Постановления Правительства Российской Федерации «Перечень ключевых (базовых) показателей публичной нефинансовой отчетности»,  которые прошли оценку регулирующего воздействия, согласование </w:t>
      </w:r>
      <w:r w:rsidR="00E82E68">
        <w:rPr>
          <w:rFonts w:ascii="Times New Roman" w:hAnsi="Times New Roman" w:cs="Times New Roman"/>
          <w:sz w:val="24"/>
          <w:szCs w:val="24"/>
        </w:rPr>
        <w:t>федеральными органами испольной власт</w:t>
      </w:r>
      <w:r w:rsidR="00E82E68" w:rsidRPr="00737C20">
        <w:rPr>
          <w:rFonts w:ascii="Times New Roman" w:hAnsi="Times New Roman" w:cs="Times New Roman"/>
          <w:sz w:val="24"/>
          <w:szCs w:val="24"/>
        </w:rPr>
        <w:t xml:space="preserve">и </w:t>
      </w:r>
      <w:r w:rsidRPr="00737C20">
        <w:rPr>
          <w:rFonts w:ascii="Times New Roman" w:hAnsi="Times New Roman" w:cs="Times New Roman"/>
          <w:sz w:val="24"/>
          <w:szCs w:val="24"/>
        </w:rPr>
        <w:t xml:space="preserve">и </w:t>
      </w:r>
      <w:r w:rsidR="00737C20">
        <w:rPr>
          <w:rFonts w:ascii="Times New Roman" w:hAnsi="Times New Roman" w:cs="Times New Roman"/>
          <w:sz w:val="24"/>
          <w:szCs w:val="24"/>
        </w:rPr>
        <w:t xml:space="preserve">были </w:t>
      </w:r>
      <w:r w:rsidRPr="00737C20">
        <w:rPr>
          <w:rFonts w:ascii="Times New Roman" w:hAnsi="Times New Roman" w:cs="Times New Roman"/>
          <w:sz w:val="24"/>
          <w:szCs w:val="24"/>
        </w:rPr>
        <w:t xml:space="preserve">направлены в Правительство Российской Федерации. </w:t>
      </w:r>
    </w:p>
    <w:p w14:paraId="30AB0A1C" w14:textId="19FB67C6" w:rsidR="007F25C7" w:rsidRDefault="007F25C7" w:rsidP="00E82E68">
      <w:pPr>
        <w:spacing w:line="240" w:lineRule="auto"/>
        <w:ind w:firstLine="540"/>
        <w:jc w:val="both"/>
        <w:rPr>
          <w:rFonts w:ascii="Times New Roman" w:hAnsi="Times New Roman" w:cs="Times New Roman"/>
          <w:sz w:val="24"/>
          <w:szCs w:val="24"/>
        </w:rPr>
      </w:pPr>
      <w:r w:rsidRPr="00737C20">
        <w:rPr>
          <w:rFonts w:ascii="Times New Roman" w:hAnsi="Times New Roman" w:cs="Times New Roman"/>
          <w:sz w:val="24"/>
          <w:szCs w:val="24"/>
        </w:rPr>
        <w:t>В ноябре 2021 года Президент Российской Федерации дал поручение Правительству и Государственной думе Российской Федерации к 1 марта 2022 года обеспечить внесение в законодательство изменений, направленных на развитие системы публичной нефинансовой отчетности юридических лиц. Однако в сентябре 2022 года работа над законопроектом о публичной нефинансовой отчетности была приостановлена до конца 2022 года.</w:t>
      </w:r>
    </w:p>
    <w:p w14:paraId="2CAFA0C0" w14:textId="77777777" w:rsidR="00737C20" w:rsidRPr="00737C20" w:rsidRDefault="00737C20" w:rsidP="007F25C7">
      <w:pPr>
        <w:spacing w:after="0" w:line="240" w:lineRule="auto"/>
        <w:ind w:firstLine="540"/>
        <w:jc w:val="both"/>
        <w:rPr>
          <w:rFonts w:ascii="Times New Roman" w:hAnsi="Times New Roman" w:cs="Times New Roman"/>
          <w:sz w:val="24"/>
          <w:szCs w:val="24"/>
        </w:rPr>
      </w:pPr>
    </w:p>
    <w:p w14:paraId="4D5C8FDC" w14:textId="74EF95EA" w:rsidR="00FB0B40" w:rsidRDefault="00C916D4" w:rsidP="00FB0B40">
      <w:pPr>
        <w:autoSpaceDE w:val="0"/>
        <w:autoSpaceDN w:val="0"/>
        <w:adjustRightInd w:val="0"/>
        <w:spacing w:after="0" w:line="240" w:lineRule="auto"/>
        <w:jc w:val="both"/>
        <w:rPr>
          <w:rFonts w:ascii="Times New Roman" w:hAnsi="Times New Roman" w:cs="Times New Roman"/>
          <w:sz w:val="24"/>
          <w:szCs w:val="24"/>
        </w:rPr>
      </w:pPr>
      <w:r w:rsidRPr="00737C20">
        <w:rPr>
          <w:rFonts w:ascii="Times New Roman" w:hAnsi="Times New Roman" w:cs="Times New Roman"/>
          <w:color w:val="000000"/>
          <w:sz w:val="24"/>
          <w:szCs w:val="24"/>
        </w:rPr>
        <w:t xml:space="preserve">Концепцией развития публичной нефинансовой отчетности и проектом </w:t>
      </w:r>
      <w:r w:rsidRPr="00737C20">
        <w:rPr>
          <w:rFonts w:ascii="Times New Roman" w:hAnsi="Times New Roman" w:cs="Times New Roman"/>
          <w:sz w:val="24"/>
          <w:szCs w:val="24"/>
        </w:rPr>
        <w:t xml:space="preserve">Федерального закона «О публичной нефинансовой отчетности» предусмотрено </w:t>
      </w:r>
      <w:r w:rsidRPr="00737C20">
        <w:rPr>
          <w:rFonts w:ascii="Times New Roman" w:hAnsi="Times New Roman" w:cs="Times New Roman"/>
          <w:color w:val="000000"/>
          <w:sz w:val="24"/>
          <w:szCs w:val="24"/>
        </w:rPr>
        <w:t xml:space="preserve">независимое подтверждение публичной нефинансовой отчетности (отчетности об устойчивом развитии). Согласно Концепции предметом подтверждения могут быть сам </w:t>
      </w:r>
      <w:r w:rsidRPr="00737C20">
        <w:rPr>
          <w:rFonts w:ascii="Times New Roman" w:hAnsi="Times New Roman" w:cs="Times New Roman"/>
          <w:sz w:val="24"/>
          <w:szCs w:val="24"/>
        </w:rPr>
        <w:t xml:space="preserve">публичный нефинансовый отчет (его часть или отдельные показатели в его составе), а также процедуры и процессы, связанные с подготовкой публичной нефинансовой отчетности. </w:t>
      </w:r>
      <w:r w:rsidR="007F25C7" w:rsidRPr="00737C20">
        <w:rPr>
          <w:rFonts w:ascii="Times New Roman" w:hAnsi="Times New Roman" w:cs="Times New Roman"/>
          <w:sz w:val="24"/>
          <w:szCs w:val="24"/>
        </w:rPr>
        <w:t xml:space="preserve">Статьей 6 проекта Федерального </w:t>
      </w:r>
      <w:r w:rsidR="00E82E68">
        <w:rPr>
          <w:rFonts w:ascii="Times New Roman" w:hAnsi="Times New Roman" w:cs="Times New Roman"/>
          <w:sz w:val="24"/>
          <w:szCs w:val="24"/>
        </w:rPr>
        <w:t>з</w:t>
      </w:r>
      <w:r w:rsidR="007F25C7" w:rsidRPr="00737C20">
        <w:rPr>
          <w:rFonts w:ascii="Times New Roman" w:hAnsi="Times New Roman" w:cs="Times New Roman"/>
          <w:sz w:val="24"/>
          <w:szCs w:val="24"/>
        </w:rPr>
        <w:t xml:space="preserve">акона «О публичной нефинансовой отчетности» предусмотрена добровольная внешняя оценка/независимое заверение публичной нефинансовой отчетности. </w:t>
      </w:r>
      <w:r w:rsidR="00FB0B40">
        <w:rPr>
          <w:rFonts w:ascii="Times New Roman" w:hAnsi="Times New Roman" w:cs="Times New Roman"/>
          <w:sz w:val="24"/>
          <w:szCs w:val="24"/>
        </w:rPr>
        <w:t xml:space="preserve">Независимая внешняя оценка публичной нефинансовой отчетности проводится в формах общественного подтверждения (заверения) и (или) профессионального подтверждения (заверения). Профессиональное подтверждение (заверение) публичной нефинансовой отчетности проводится аудиторскими организациями в соответствии со стандартами аудиторской деятельности, применяемыми на территории Российской Федерации в соответствии с Федеральным </w:t>
      </w:r>
      <w:hyperlink r:id="rId9" w:history="1">
        <w:r w:rsidR="00FB0B40">
          <w:rPr>
            <w:rFonts w:ascii="Times New Roman" w:hAnsi="Times New Roman" w:cs="Times New Roman"/>
            <w:color w:val="0000FF"/>
            <w:sz w:val="24"/>
            <w:szCs w:val="24"/>
          </w:rPr>
          <w:t>законом</w:t>
        </w:r>
      </w:hyperlink>
      <w:r w:rsidR="00FB0B40">
        <w:rPr>
          <w:rFonts w:ascii="Times New Roman" w:hAnsi="Times New Roman" w:cs="Times New Roman"/>
          <w:sz w:val="24"/>
          <w:szCs w:val="24"/>
        </w:rPr>
        <w:t xml:space="preserve"> "Об аудиторской деятельности"</w:t>
      </w:r>
      <w:r w:rsidR="00791431">
        <w:rPr>
          <w:rFonts w:ascii="Times New Roman" w:hAnsi="Times New Roman" w:cs="Times New Roman"/>
          <w:sz w:val="24"/>
          <w:szCs w:val="24"/>
        </w:rPr>
        <w:t>[1</w:t>
      </w:r>
      <w:r w:rsidR="00791431" w:rsidRPr="00791431">
        <w:rPr>
          <w:rFonts w:ascii="Times New Roman" w:hAnsi="Times New Roman" w:cs="Times New Roman"/>
          <w:sz w:val="24"/>
          <w:szCs w:val="24"/>
        </w:rPr>
        <w:t>]</w:t>
      </w:r>
      <w:r w:rsidR="00FB0B40">
        <w:rPr>
          <w:rFonts w:ascii="Times New Roman" w:hAnsi="Times New Roman" w:cs="Times New Roman"/>
          <w:sz w:val="24"/>
          <w:szCs w:val="24"/>
        </w:rPr>
        <w:t>.</w:t>
      </w:r>
    </w:p>
    <w:p w14:paraId="733B8472" w14:textId="77777777" w:rsidR="00FB0B40" w:rsidRDefault="00FB0B40" w:rsidP="007F25C7">
      <w:pPr>
        <w:autoSpaceDE w:val="0"/>
        <w:autoSpaceDN w:val="0"/>
        <w:adjustRightInd w:val="0"/>
        <w:spacing w:after="0" w:line="240" w:lineRule="auto"/>
        <w:ind w:firstLine="540"/>
        <w:jc w:val="both"/>
        <w:rPr>
          <w:rFonts w:ascii="Times New Roman" w:hAnsi="Times New Roman" w:cs="Times New Roman"/>
          <w:color w:val="000000"/>
          <w:sz w:val="24"/>
          <w:szCs w:val="24"/>
        </w:rPr>
      </w:pPr>
    </w:p>
    <w:p w14:paraId="3E4385C5" w14:textId="335AAEF8" w:rsidR="00C916D4" w:rsidRPr="00737C20" w:rsidRDefault="00C916D4" w:rsidP="007F25C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737C20">
        <w:rPr>
          <w:rFonts w:ascii="Times New Roman" w:hAnsi="Times New Roman" w:cs="Times New Roman"/>
          <w:color w:val="000000"/>
          <w:sz w:val="24"/>
          <w:szCs w:val="24"/>
        </w:rPr>
        <w:t xml:space="preserve">Исходя из приказа Минфина России от 9 марта 2017 г. № 33н </w:t>
      </w:r>
      <w:r w:rsidRPr="00737C20">
        <w:rPr>
          <w:rFonts w:ascii="Times New Roman" w:hAnsi="Times New Roman" w:cs="Times New Roman"/>
          <w:color w:val="000000"/>
          <w:sz w:val="24"/>
          <w:szCs w:val="24"/>
        </w:rPr>
        <w:br/>
        <w:t>«Об определении видов аудиторских услуг, в том числе перечня сопутствующих аудиту услуг»</w:t>
      </w:r>
      <w:r w:rsidR="00791431">
        <w:rPr>
          <w:rFonts w:ascii="Times New Roman" w:hAnsi="Times New Roman" w:cs="Times New Roman"/>
          <w:color w:val="000000"/>
          <w:sz w:val="24"/>
          <w:szCs w:val="24"/>
        </w:rPr>
        <w:t xml:space="preserve"> </w:t>
      </w:r>
      <w:r w:rsidR="00791431" w:rsidRPr="00791431">
        <w:rPr>
          <w:rFonts w:ascii="Times New Roman" w:hAnsi="Times New Roman" w:cs="Times New Roman"/>
          <w:color w:val="000000"/>
          <w:sz w:val="24"/>
          <w:szCs w:val="24"/>
        </w:rPr>
        <w:t>[11]</w:t>
      </w:r>
      <w:r w:rsidRPr="00737C20">
        <w:rPr>
          <w:rFonts w:ascii="Times New Roman" w:hAnsi="Times New Roman" w:cs="Times New Roman"/>
          <w:color w:val="000000"/>
          <w:sz w:val="24"/>
          <w:szCs w:val="24"/>
        </w:rPr>
        <w:t>, помимо обязательного аудита, обязательное подтверждение отчетности (информации) может осуществляться в формах подтверждения, обеспечивающего разумную или ограниченную уверенность, либо не обеспечивающего уверенность. Подтверждение, обеспечивающее разумную уверенность, - это выполнение заданий, обеспечивающих разумную уверенность в: финансовой информации, не относящейся к прошедшим периодам; 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 предмете, отличном от информации.</w:t>
      </w:r>
    </w:p>
    <w:p w14:paraId="3F6FABD6" w14:textId="77777777" w:rsidR="00737C20" w:rsidRDefault="00737C20" w:rsidP="00C916D4">
      <w:pPr>
        <w:pStyle w:val="ConsPlusNormal"/>
        <w:ind w:firstLine="540"/>
        <w:jc w:val="both"/>
        <w:rPr>
          <w:rFonts w:ascii="Times New Roman" w:eastAsiaTheme="minorHAnsi" w:hAnsi="Times New Roman" w:cs="Times New Roman"/>
          <w:sz w:val="24"/>
          <w:szCs w:val="24"/>
          <w:lang w:val="ru-RU"/>
        </w:rPr>
      </w:pPr>
    </w:p>
    <w:p w14:paraId="3A1FFF58" w14:textId="4DA858F8" w:rsidR="007F25C7" w:rsidRPr="00737C20" w:rsidRDefault="007F25C7" w:rsidP="00C916D4">
      <w:pPr>
        <w:pStyle w:val="ConsPlusNormal"/>
        <w:ind w:firstLine="540"/>
        <w:jc w:val="both"/>
        <w:rPr>
          <w:rFonts w:ascii="Times New Roman" w:eastAsiaTheme="minorHAnsi" w:hAnsi="Times New Roman" w:cs="Times New Roman"/>
          <w:sz w:val="24"/>
          <w:szCs w:val="24"/>
          <w:lang w:val="ru-RU"/>
        </w:rPr>
      </w:pPr>
      <w:r w:rsidRPr="00737C20">
        <w:rPr>
          <w:rFonts w:ascii="Times New Roman" w:eastAsiaTheme="minorHAnsi" w:hAnsi="Times New Roman" w:cs="Times New Roman"/>
          <w:sz w:val="24"/>
          <w:szCs w:val="24"/>
          <w:lang w:val="ru-RU"/>
        </w:rPr>
        <w:t>С 1 января 2016 года в Российской Федерации введен в действие 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w:t>
      </w:r>
      <w:r w:rsidR="00C916D4" w:rsidRPr="00737C20">
        <w:rPr>
          <w:rFonts w:ascii="Times New Roman" w:eastAsiaTheme="minorHAnsi" w:hAnsi="Times New Roman" w:cs="Times New Roman"/>
          <w:sz w:val="24"/>
          <w:szCs w:val="24"/>
          <w:lang w:val="ru-RU"/>
        </w:rPr>
        <w:t>рошедших периодов" (МСЗОУ 3000)</w:t>
      </w:r>
      <w:r w:rsidR="00791431" w:rsidRPr="00791431">
        <w:rPr>
          <w:rStyle w:val="af2"/>
          <w:rFonts w:ascii="Times New Roman" w:eastAsiaTheme="minorHAnsi" w:hAnsi="Times New Roman" w:cs="Times New Roman"/>
          <w:sz w:val="24"/>
          <w:szCs w:val="24"/>
          <w:lang w:val="ru-RU"/>
        </w:rPr>
        <w:t xml:space="preserve"> </w:t>
      </w:r>
      <w:r w:rsidR="00791431" w:rsidRPr="00791431">
        <w:rPr>
          <w:rFonts w:ascii="Times New Roman" w:eastAsiaTheme="minorHAnsi" w:hAnsi="Times New Roman" w:cs="Times New Roman"/>
          <w:sz w:val="24"/>
          <w:szCs w:val="24"/>
          <w:lang w:val="ru-RU"/>
        </w:rPr>
        <w:t>[13]</w:t>
      </w:r>
      <w:r w:rsidRPr="00737C20">
        <w:rPr>
          <w:rFonts w:ascii="Times New Roman" w:eastAsiaTheme="minorHAnsi" w:hAnsi="Times New Roman" w:cs="Times New Roman"/>
          <w:sz w:val="24"/>
          <w:szCs w:val="24"/>
          <w:lang w:val="ru-RU"/>
        </w:rPr>
        <w:t xml:space="preserve">. Данный стандарт применяется для заданий, обеспечивающих уверенность в отношении широкого круга нефинансовой отчетности: </w:t>
      </w:r>
    </w:p>
    <w:p w14:paraId="78939B32" w14:textId="14E77C4B" w:rsidR="007F25C7" w:rsidRPr="00737C20" w:rsidRDefault="007F25C7" w:rsidP="00C916D4">
      <w:pPr>
        <w:pStyle w:val="a6"/>
        <w:numPr>
          <w:ilvl w:val="1"/>
          <w:numId w:val="2"/>
        </w:numPr>
        <w:spacing w:after="0" w:line="240" w:lineRule="auto"/>
        <w:contextualSpacing w:val="0"/>
        <w:jc w:val="both"/>
        <w:rPr>
          <w:rFonts w:ascii="Times New Roman" w:hAnsi="Times New Roman" w:cs="Times New Roman"/>
          <w:sz w:val="24"/>
          <w:szCs w:val="24"/>
        </w:rPr>
      </w:pPr>
      <w:r w:rsidRPr="00737C20">
        <w:rPr>
          <w:rFonts w:ascii="Times New Roman" w:hAnsi="Times New Roman" w:cs="Times New Roman"/>
          <w:sz w:val="24"/>
          <w:szCs w:val="24"/>
        </w:rPr>
        <w:t xml:space="preserve">отчетов о реализации Долгосрочных </w:t>
      </w:r>
      <w:r w:rsidR="00C1475F">
        <w:rPr>
          <w:rFonts w:ascii="Times New Roman" w:hAnsi="Times New Roman" w:cs="Times New Roman"/>
          <w:sz w:val="24"/>
          <w:szCs w:val="24"/>
        </w:rPr>
        <w:t>п</w:t>
      </w:r>
      <w:r w:rsidRPr="00737C20">
        <w:rPr>
          <w:rFonts w:ascii="Times New Roman" w:hAnsi="Times New Roman" w:cs="Times New Roman"/>
          <w:sz w:val="24"/>
          <w:szCs w:val="24"/>
        </w:rPr>
        <w:t xml:space="preserve">рограмм </w:t>
      </w:r>
      <w:r w:rsidR="00C1475F">
        <w:rPr>
          <w:rFonts w:ascii="Times New Roman" w:hAnsi="Times New Roman" w:cs="Times New Roman"/>
          <w:sz w:val="24"/>
          <w:szCs w:val="24"/>
        </w:rPr>
        <w:t>р</w:t>
      </w:r>
      <w:r w:rsidRPr="00737C20">
        <w:rPr>
          <w:rFonts w:ascii="Times New Roman" w:hAnsi="Times New Roman" w:cs="Times New Roman"/>
          <w:sz w:val="24"/>
          <w:szCs w:val="24"/>
        </w:rPr>
        <w:t>азвития госкомпаний</w:t>
      </w:r>
      <w:r w:rsidR="00C1475F">
        <w:rPr>
          <w:rFonts w:ascii="Times New Roman" w:hAnsi="Times New Roman" w:cs="Times New Roman"/>
          <w:sz w:val="24"/>
          <w:szCs w:val="24"/>
        </w:rPr>
        <w:t>,</w:t>
      </w:r>
    </w:p>
    <w:p w14:paraId="51B5D143" w14:textId="77777777" w:rsidR="007F25C7" w:rsidRPr="00737C20" w:rsidRDefault="007F25C7" w:rsidP="00C916D4">
      <w:pPr>
        <w:pStyle w:val="a6"/>
        <w:numPr>
          <w:ilvl w:val="1"/>
          <w:numId w:val="2"/>
        </w:numPr>
        <w:spacing w:after="0" w:line="240" w:lineRule="auto"/>
        <w:contextualSpacing w:val="0"/>
        <w:jc w:val="both"/>
        <w:rPr>
          <w:rFonts w:ascii="Times New Roman" w:hAnsi="Times New Roman" w:cs="Times New Roman"/>
          <w:sz w:val="24"/>
          <w:szCs w:val="24"/>
        </w:rPr>
      </w:pPr>
      <w:r w:rsidRPr="00737C20">
        <w:rPr>
          <w:rFonts w:ascii="Times New Roman" w:hAnsi="Times New Roman" w:cs="Times New Roman"/>
          <w:sz w:val="24"/>
          <w:szCs w:val="24"/>
        </w:rPr>
        <w:t>ESG отчетов, отчетов об устойчивом развитии, отчетов о корпоративной социальной ответственности, социальных и экологических отчетов</w:t>
      </w:r>
      <w:r w:rsidR="00C1475F">
        <w:rPr>
          <w:rFonts w:ascii="Times New Roman" w:hAnsi="Times New Roman" w:cs="Times New Roman"/>
          <w:sz w:val="24"/>
          <w:szCs w:val="24"/>
        </w:rPr>
        <w:t>,</w:t>
      </w:r>
    </w:p>
    <w:p w14:paraId="4729DA2C" w14:textId="77777777" w:rsidR="007F25C7" w:rsidRPr="00737C20" w:rsidRDefault="007F25C7" w:rsidP="00C916D4">
      <w:pPr>
        <w:pStyle w:val="a6"/>
        <w:numPr>
          <w:ilvl w:val="1"/>
          <w:numId w:val="2"/>
        </w:numPr>
        <w:spacing w:after="0" w:line="240" w:lineRule="auto"/>
        <w:contextualSpacing w:val="0"/>
        <w:jc w:val="both"/>
        <w:rPr>
          <w:rFonts w:ascii="Times New Roman" w:hAnsi="Times New Roman" w:cs="Times New Roman"/>
          <w:sz w:val="24"/>
          <w:szCs w:val="24"/>
        </w:rPr>
      </w:pPr>
      <w:r w:rsidRPr="00737C20">
        <w:rPr>
          <w:rFonts w:ascii="Times New Roman" w:hAnsi="Times New Roman" w:cs="Times New Roman"/>
          <w:sz w:val="24"/>
          <w:szCs w:val="24"/>
        </w:rPr>
        <w:t>иных отчетов членов отраслевых и профессиональных ассоциаций и объединений.</w:t>
      </w:r>
    </w:p>
    <w:p w14:paraId="5491A82F" w14:textId="77777777" w:rsidR="00DB7DF0" w:rsidRDefault="00DB7DF0" w:rsidP="00D026F9">
      <w:pPr>
        <w:autoSpaceDE w:val="0"/>
        <w:autoSpaceDN w:val="0"/>
        <w:adjustRightInd w:val="0"/>
        <w:spacing w:after="0" w:line="240" w:lineRule="auto"/>
        <w:ind w:firstLine="708"/>
        <w:jc w:val="both"/>
        <w:rPr>
          <w:rFonts w:ascii="Times New Roman" w:hAnsi="Times New Roman" w:cs="Times New Roman"/>
          <w:sz w:val="24"/>
          <w:szCs w:val="24"/>
        </w:rPr>
      </w:pPr>
    </w:p>
    <w:p w14:paraId="3D6C62DF" w14:textId="6EB38B9D" w:rsidR="007F25C7" w:rsidRPr="00737C20" w:rsidRDefault="007F25C7" w:rsidP="00D026F9">
      <w:pPr>
        <w:autoSpaceDE w:val="0"/>
        <w:autoSpaceDN w:val="0"/>
        <w:adjustRightInd w:val="0"/>
        <w:spacing w:after="0" w:line="240" w:lineRule="auto"/>
        <w:ind w:firstLine="708"/>
        <w:jc w:val="both"/>
        <w:rPr>
          <w:rFonts w:ascii="Times New Roman" w:hAnsi="Times New Roman" w:cs="Times New Roman"/>
          <w:sz w:val="24"/>
          <w:szCs w:val="24"/>
        </w:rPr>
      </w:pPr>
      <w:r w:rsidRPr="00B50939">
        <w:rPr>
          <w:rFonts w:ascii="Times New Roman" w:hAnsi="Times New Roman" w:cs="Times New Roman"/>
          <w:sz w:val="24"/>
          <w:szCs w:val="24"/>
        </w:rPr>
        <w:t xml:space="preserve">Вопросы борьбы с климатическими изменениями </w:t>
      </w:r>
      <w:r w:rsidR="00B50939">
        <w:rPr>
          <w:rFonts w:ascii="Times New Roman" w:hAnsi="Times New Roman" w:cs="Times New Roman"/>
          <w:sz w:val="24"/>
          <w:szCs w:val="24"/>
        </w:rPr>
        <w:t>находятся в фокусе</w:t>
      </w:r>
      <w:r w:rsidRPr="00B50939">
        <w:rPr>
          <w:rFonts w:ascii="Times New Roman" w:hAnsi="Times New Roman" w:cs="Times New Roman"/>
          <w:sz w:val="24"/>
          <w:szCs w:val="24"/>
        </w:rPr>
        <w:t xml:space="preserve"> внимания </w:t>
      </w:r>
      <w:r w:rsidR="00B50939">
        <w:rPr>
          <w:rFonts w:ascii="Times New Roman" w:hAnsi="Times New Roman" w:cs="Times New Roman"/>
          <w:sz w:val="24"/>
          <w:szCs w:val="24"/>
        </w:rPr>
        <w:t>регуляторов Российской Федерации</w:t>
      </w:r>
      <w:r w:rsidRPr="00B50939">
        <w:rPr>
          <w:rFonts w:ascii="Times New Roman" w:hAnsi="Times New Roman" w:cs="Times New Roman"/>
          <w:sz w:val="24"/>
          <w:szCs w:val="24"/>
        </w:rPr>
        <w:t>.</w:t>
      </w:r>
      <w:r w:rsidRPr="00737C20">
        <w:rPr>
          <w:rFonts w:ascii="Times New Roman" w:hAnsi="Times New Roman" w:cs="Times New Roman"/>
          <w:sz w:val="24"/>
          <w:szCs w:val="24"/>
        </w:rPr>
        <w:t xml:space="preserve"> </w:t>
      </w:r>
    </w:p>
    <w:p w14:paraId="0219D9D6" w14:textId="08D830B5" w:rsidR="007F25C7" w:rsidRDefault="003350F0" w:rsidP="00D026F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25C7" w:rsidRPr="00737C20">
        <w:rPr>
          <w:rFonts w:ascii="Times New Roman" w:hAnsi="Times New Roman" w:cs="Times New Roman"/>
          <w:sz w:val="24"/>
          <w:szCs w:val="24"/>
        </w:rPr>
        <w:t xml:space="preserve">Так, в 2021 году вступил в силу </w:t>
      </w:r>
      <w:bookmarkStart w:id="6" w:name="_Hlk122348575"/>
      <w:r w:rsidR="00E8495A" w:rsidRPr="00737C20">
        <w:rPr>
          <w:rFonts w:ascii="Times New Roman" w:hAnsi="Times New Roman" w:cs="Times New Roman"/>
          <w:sz w:val="24"/>
          <w:szCs w:val="24"/>
        </w:rPr>
        <w:t>Федеральный закон РФ «Об ограничении выбросов парниковых газов»</w:t>
      </w:r>
      <w:bookmarkEnd w:id="6"/>
      <w:r w:rsidR="00791431" w:rsidRPr="00791431">
        <w:rPr>
          <w:rFonts w:ascii="Times New Roman" w:hAnsi="Times New Roman" w:cs="Times New Roman"/>
          <w:sz w:val="24"/>
          <w:szCs w:val="24"/>
        </w:rPr>
        <w:t xml:space="preserve"> [3]</w:t>
      </w:r>
      <w:r w:rsidR="00E8495A" w:rsidRPr="00737C20">
        <w:rPr>
          <w:rFonts w:ascii="Times New Roman" w:hAnsi="Times New Roman" w:cs="Times New Roman"/>
          <w:sz w:val="24"/>
          <w:szCs w:val="24"/>
        </w:rPr>
        <w:t xml:space="preserve">, </w:t>
      </w:r>
      <w:r w:rsidR="007F25C7" w:rsidRPr="00737C20">
        <w:rPr>
          <w:rFonts w:ascii="Times New Roman" w:hAnsi="Times New Roman" w:cs="Times New Roman"/>
          <w:sz w:val="24"/>
          <w:szCs w:val="24"/>
        </w:rPr>
        <w:t>во исполнение которого принято Постановление Правительства РФ N 455 «Об утверждении Правил верификации результатов реализации климатических проектов»</w:t>
      </w:r>
      <w:r w:rsidR="00791431" w:rsidRPr="00791431">
        <w:rPr>
          <w:rStyle w:val="af2"/>
          <w:rFonts w:ascii="Times New Roman" w:hAnsi="Times New Roman" w:cs="Times New Roman"/>
          <w:sz w:val="24"/>
          <w:szCs w:val="24"/>
        </w:rPr>
        <w:t xml:space="preserve"> </w:t>
      </w:r>
      <w:r w:rsidR="00791431" w:rsidRPr="00791431">
        <w:rPr>
          <w:rFonts w:ascii="Times New Roman" w:hAnsi="Times New Roman" w:cs="Times New Roman"/>
          <w:sz w:val="24"/>
          <w:szCs w:val="24"/>
        </w:rPr>
        <w:t>[5]</w:t>
      </w:r>
      <w:r w:rsidR="00E8495A" w:rsidRPr="00E8495A">
        <w:rPr>
          <w:rFonts w:ascii="Times New Roman" w:hAnsi="Times New Roman" w:cs="Times New Roman"/>
          <w:sz w:val="24"/>
          <w:szCs w:val="24"/>
        </w:rPr>
        <w:t xml:space="preserve"> </w:t>
      </w:r>
      <w:r w:rsidR="00E8495A">
        <w:rPr>
          <w:rFonts w:ascii="Times New Roman" w:hAnsi="Times New Roman" w:cs="Times New Roman"/>
          <w:sz w:val="24"/>
          <w:szCs w:val="24"/>
        </w:rPr>
        <w:t>(далее – Постановление № 455)</w:t>
      </w:r>
      <w:r w:rsidR="00F03A95" w:rsidRPr="00737C20">
        <w:rPr>
          <w:rFonts w:ascii="Times New Roman" w:hAnsi="Times New Roman" w:cs="Times New Roman"/>
          <w:sz w:val="24"/>
          <w:szCs w:val="24"/>
        </w:rPr>
        <w:t xml:space="preserve">, </w:t>
      </w:r>
      <w:r w:rsidR="007F25C7" w:rsidRPr="00737C20">
        <w:rPr>
          <w:rFonts w:ascii="Times New Roman" w:hAnsi="Times New Roman" w:cs="Times New Roman"/>
          <w:sz w:val="24"/>
          <w:szCs w:val="24"/>
        </w:rPr>
        <w:t>вступ</w:t>
      </w:r>
      <w:r w:rsidR="00D026F9" w:rsidRPr="00737C20">
        <w:rPr>
          <w:rFonts w:ascii="Times New Roman" w:hAnsi="Times New Roman" w:cs="Times New Roman"/>
          <w:sz w:val="24"/>
          <w:szCs w:val="24"/>
        </w:rPr>
        <w:t>и</w:t>
      </w:r>
      <w:r w:rsidR="00F03A95" w:rsidRPr="00737C20">
        <w:rPr>
          <w:rFonts w:ascii="Times New Roman" w:hAnsi="Times New Roman" w:cs="Times New Roman"/>
          <w:sz w:val="24"/>
          <w:szCs w:val="24"/>
        </w:rPr>
        <w:t xml:space="preserve">вшее </w:t>
      </w:r>
      <w:r w:rsidR="007F25C7" w:rsidRPr="00737C20">
        <w:rPr>
          <w:rFonts w:ascii="Times New Roman" w:hAnsi="Times New Roman" w:cs="Times New Roman"/>
          <w:sz w:val="24"/>
          <w:szCs w:val="24"/>
        </w:rPr>
        <w:t>в силу с 1 сентября 2022 г.</w:t>
      </w:r>
      <w:r w:rsidR="00F03A95" w:rsidRPr="00737C20">
        <w:rPr>
          <w:rFonts w:ascii="Times New Roman" w:hAnsi="Times New Roman" w:cs="Times New Roman"/>
          <w:sz w:val="24"/>
          <w:szCs w:val="24"/>
        </w:rPr>
        <w:t xml:space="preserve"> </w:t>
      </w:r>
    </w:p>
    <w:p w14:paraId="34C68B88" w14:textId="241524DE" w:rsidR="007F25C7" w:rsidRPr="00737C20" w:rsidRDefault="007F25C7" w:rsidP="00D026F9">
      <w:pPr>
        <w:spacing w:line="240" w:lineRule="auto"/>
        <w:jc w:val="both"/>
        <w:rPr>
          <w:rFonts w:ascii="Times New Roman" w:hAnsi="Times New Roman" w:cs="Times New Roman"/>
          <w:sz w:val="24"/>
          <w:szCs w:val="24"/>
        </w:rPr>
      </w:pPr>
      <w:r w:rsidRPr="00737C20">
        <w:rPr>
          <w:rFonts w:ascii="Times New Roman" w:hAnsi="Times New Roman" w:cs="Times New Roman"/>
          <w:sz w:val="24"/>
          <w:szCs w:val="24"/>
        </w:rPr>
        <w:t xml:space="preserve"> </w:t>
      </w:r>
      <w:r w:rsidRPr="00737C20">
        <w:rPr>
          <w:rFonts w:ascii="Times New Roman" w:hAnsi="Times New Roman" w:cs="Times New Roman"/>
          <w:sz w:val="24"/>
          <w:szCs w:val="24"/>
        </w:rPr>
        <w:tab/>
      </w:r>
      <w:r w:rsidR="00E8495A" w:rsidRPr="00737C20">
        <w:rPr>
          <w:rFonts w:ascii="Times New Roman" w:hAnsi="Times New Roman" w:cs="Times New Roman"/>
          <w:sz w:val="24"/>
          <w:szCs w:val="24"/>
        </w:rPr>
        <w:t xml:space="preserve">Постановление </w:t>
      </w:r>
      <w:r w:rsidR="00E8495A">
        <w:rPr>
          <w:rFonts w:ascii="Times New Roman" w:hAnsi="Times New Roman" w:cs="Times New Roman"/>
          <w:sz w:val="24"/>
          <w:szCs w:val="24"/>
        </w:rPr>
        <w:t xml:space="preserve">№ 455 </w:t>
      </w:r>
      <w:r w:rsidRPr="00737C20">
        <w:rPr>
          <w:rFonts w:ascii="Times New Roman" w:hAnsi="Times New Roman" w:cs="Times New Roman"/>
          <w:sz w:val="24"/>
          <w:szCs w:val="24"/>
        </w:rPr>
        <w:t xml:space="preserve">предусматривает проверку и подтверждение информации о сокращении (предотвращении) выбросов парниковых газов или об увеличении поглощения парниковых газов, которая содержится в отчете о реализации климатического проекта. Верификация обеспечивает получение обоснованного, независимого и объективного заключения о соответствии климатических проектов критериям признания и требованиям, установленным национальными и (или) международными стандартами реализации климатических проектов, определения выбросов и поглощения парниковых газов и углеродного следа продукции. </w:t>
      </w:r>
    </w:p>
    <w:p w14:paraId="3FE3C15E" w14:textId="200BD359" w:rsidR="00F03A95" w:rsidRPr="00737C20" w:rsidRDefault="00F03A95" w:rsidP="003350F0">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 xml:space="preserve">Согласно </w:t>
      </w:r>
      <w:r w:rsidR="00E8495A" w:rsidRPr="00737C20">
        <w:rPr>
          <w:rFonts w:ascii="Times New Roman" w:hAnsi="Times New Roman" w:cs="Times New Roman"/>
          <w:sz w:val="24"/>
          <w:szCs w:val="24"/>
        </w:rPr>
        <w:t>Постановлению</w:t>
      </w:r>
      <w:r w:rsidR="00E8495A">
        <w:rPr>
          <w:rFonts w:ascii="Times New Roman" w:hAnsi="Times New Roman" w:cs="Times New Roman"/>
          <w:sz w:val="24"/>
          <w:szCs w:val="24"/>
        </w:rPr>
        <w:t xml:space="preserve"> № 455</w:t>
      </w:r>
      <w:r w:rsidR="00E8495A" w:rsidRPr="00737C20">
        <w:rPr>
          <w:rFonts w:ascii="Times New Roman" w:hAnsi="Times New Roman" w:cs="Times New Roman"/>
          <w:sz w:val="24"/>
          <w:szCs w:val="24"/>
        </w:rPr>
        <w:t xml:space="preserve"> </w:t>
      </w:r>
      <w:r w:rsidRPr="00737C20">
        <w:rPr>
          <w:rFonts w:ascii="Times New Roman" w:hAnsi="Times New Roman" w:cs="Times New Roman"/>
          <w:sz w:val="24"/>
          <w:szCs w:val="24"/>
        </w:rPr>
        <w:t>верификация осуществляется юридическим лицом или индивидуальным предпринимателем, аккредитованным в национальной системе аккредитации в качестве органа по валидации</w:t>
      </w:r>
      <w:r w:rsidR="00E8495A">
        <w:rPr>
          <w:rStyle w:val="af2"/>
          <w:rFonts w:ascii="Times New Roman" w:hAnsi="Times New Roman" w:cs="Times New Roman"/>
          <w:sz w:val="24"/>
          <w:szCs w:val="24"/>
        </w:rPr>
        <w:footnoteReference w:id="2"/>
      </w:r>
      <w:r w:rsidRPr="00737C20">
        <w:rPr>
          <w:rFonts w:ascii="Times New Roman" w:hAnsi="Times New Roman" w:cs="Times New Roman"/>
          <w:sz w:val="24"/>
          <w:szCs w:val="24"/>
        </w:rPr>
        <w:t xml:space="preserve"> и верификации парниковых газов. </w:t>
      </w:r>
    </w:p>
    <w:p w14:paraId="1F7DFF47" w14:textId="4B0614DC" w:rsidR="00F03A95" w:rsidRPr="00737C20" w:rsidRDefault="008B0740" w:rsidP="003350F0">
      <w:pPr>
        <w:pStyle w:val="headertext"/>
        <w:shd w:val="clear" w:color="auto" w:fill="FFFFFF"/>
        <w:spacing w:before="0" w:beforeAutospacing="0" w:after="240" w:afterAutospacing="0"/>
        <w:ind w:firstLine="708"/>
        <w:jc w:val="both"/>
        <w:textAlignment w:val="baseline"/>
        <w:rPr>
          <w:rFonts w:eastAsiaTheme="minorHAnsi"/>
          <w:lang w:eastAsia="en-US"/>
        </w:rPr>
      </w:pPr>
      <w:r w:rsidRPr="00737C20">
        <w:rPr>
          <w:rFonts w:eastAsiaTheme="minorHAnsi"/>
          <w:lang w:eastAsia="en-US"/>
        </w:rPr>
        <w:t xml:space="preserve">Приказом </w:t>
      </w:r>
      <w:r w:rsidR="00F03A95" w:rsidRPr="00737C20">
        <w:rPr>
          <w:rFonts w:eastAsiaTheme="minorHAnsi"/>
          <w:lang w:eastAsia="en-US"/>
        </w:rPr>
        <w:t>Минэкономразвития Российской Федерации</w:t>
      </w:r>
      <w:r w:rsidRPr="00737C20">
        <w:rPr>
          <w:rFonts w:eastAsiaTheme="minorHAnsi"/>
          <w:lang w:eastAsia="en-US"/>
        </w:rPr>
        <w:t xml:space="preserve"> от </w:t>
      </w:r>
      <w:r w:rsidR="00F03A95" w:rsidRPr="00737C20">
        <w:rPr>
          <w:rFonts w:eastAsiaTheme="minorHAnsi"/>
          <w:lang w:eastAsia="en-US"/>
        </w:rPr>
        <w:t xml:space="preserve"> </w:t>
      </w:r>
      <w:r w:rsidRPr="00737C20">
        <w:rPr>
          <w:rFonts w:eastAsiaTheme="minorHAnsi"/>
          <w:lang w:eastAsia="en-US"/>
        </w:rPr>
        <w:t xml:space="preserve">26 октября 2020 года </w:t>
      </w:r>
      <w:r w:rsidR="008614C0">
        <w:rPr>
          <w:rFonts w:eastAsiaTheme="minorHAnsi"/>
          <w:lang w:eastAsia="en-US"/>
        </w:rPr>
        <w:t xml:space="preserve">    </w:t>
      </w:r>
      <w:r w:rsidR="000F1E05">
        <w:rPr>
          <w:rFonts w:eastAsiaTheme="minorHAnsi"/>
          <w:lang w:eastAsia="en-US"/>
        </w:rPr>
        <w:t>№ </w:t>
      </w:r>
      <w:r w:rsidRPr="00737C20">
        <w:rPr>
          <w:rFonts w:eastAsiaTheme="minorHAnsi"/>
          <w:lang w:eastAsia="en-US"/>
        </w:rPr>
        <w:t>707 «</w:t>
      </w:r>
      <w:r w:rsidR="00F03A95" w:rsidRPr="00737C20">
        <w:rPr>
          <w:rFonts w:eastAsiaTheme="minorHAnsi"/>
          <w:lang w:eastAsia="en-US"/>
        </w:rPr>
        <w:t>Об утверждении </w:t>
      </w:r>
      <w:hyperlink r:id="rId10" w:anchor="6560IO" w:history="1">
        <w:r w:rsidR="00F03A95" w:rsidRPr="00737C20">
          <w:rPr>
            <w:rFonts w:eastAsiaTheme="minorHAnsi"/>
            <w:lang w:eastAsia="en-US"/>
          </w:rPr>
          <w:t xml:space="preserve">критериев аккредитации и перечня документов, подтверждающих соответствие заявителя, </w:t>
        </w:r>
        <w:r w:rsidRPr="00737C20">
          <w:rPr>
            <w:rFonts w:eastAsiaTheme="minorHAnsi"/>
            <w:lang w:eastAsia="en-US"/>
          </w:rPr>
          <w:t xml:space="preserve">аккредитованного лица критериям </w:t>
        </w:r>
        <w:r w:rsidR="00F03A95" w:rsidRPr="00737C20">
          <w:rPr>
            <w:rFonts w:eastAsiaTheme="minorHAnsi"/>
            <w:lang w:eastAsia="en-US"/>
          </w:rPr>
          <w:t>аккредитации</w:t>
        </w:r>
      </w:hyperlink>
      <w:r w:rsidRPr="00737C20">
        <w:rPr>
          <w:rFonts w:eastAsiaTheme="minorHAnsi"/>
          <w:lang w:eastAsia="en-US"/>
        </w:rPr>
        <w:t xml:space="preserve">» </w:t>
      </w:r>
      <w:r w:rsidR="003C07CA" w:rsidRPr="003C07CA">
        <w:rPr>
          <w:rFonts w:eastAsiaTheme="minorHAnsi"/>
          <w:lang w:eastAsia="en-US"/>
        </w:rPr>
        <w:t xml:space="preserve">[15] </w:t>
      </w:r>
      <w:r w:rsidRPr="00737C20">
        <w:rPr>
          <w:rFonts w:eastAsiaTheme="minorHAnsi"/>
          <w:lang w:eastAsia="en-US"/>
        </w:rPr>
        <w:t>утверждены требования к органам по</w:t>
      </w:r>
      <w:r w:rsidRPr="00737C20">
        <w:rPr>
          <w:color w:val="444444"/>
        </w:rPr>
        <w:t xml:space="preserve"> </w:t>
      </w:r>
      <w:r w:rsidRPr="00737C20">
        <w:rPr>
          <w:rFonts w:eastAsiaTheme="minorHAnsi"/>
          <w:lang w:eastAsia="en-US"/>
        </w:rPr>
        <w:t>валидации и верификации парниковых газов</w:t>
      </w:r>
      <w:r w:rsidR="00C1475F">
        <w:rPr>
          <w:rFonts w:eastAsiaTheme="minorHAnsi"/>
          <w:lang w:eastAsia="en-US"/>
        </w:rPr>
        <w:t>,</w:t>
      </w:r>
      <w:r w:rsidRPr="00737C20">
        <w:rPr>
          <w:rFonts w:eastAsiaTheme="minorHAnsi"/>
          <w:lang w:eastAsia="en-US"/>
        </w:rPr>
        <w:t xml:space="preserve"> </w:t>
      </w:r>
      <w:r w:rsidR="00C1475F">
        <w:rPr>
          <w:rFonts w:eastAsiaTheme="minorHAnsi"/>
          <w:lang w:eastAsia="en-US"/>
        </w:rPr>
        <w:t>с</w:t>
      </w:r>
      <w:r w:rsidRPr="00737C20">
        <w:rPr>
          <w:rFonts w:eastAsiaTheme="minorHAnsi"/>
          <w:lang w:eastAsia="en-US"/>
        </w:rPr>
        <w:t xml:space="preserve">реди </w:t>
      </w:r>
      <w:r w:rsidR="00C1475F">
        <w:rPr>
          <w:rFonts w:eastAsiaTheme="minorHAnsi"/>
          <w:lang w:eastAsia="en-US"/>
        </w:rPr>
        <w:t>которых</w:t>
      </w:r>
      <w:r w:rsidRPr="00737C20">
        <w:rPr>
          <w:rFonts w:eastAsiaTheme="minorHAnsi"/>
          <w:lang w:eastAsia="en-US"/>
        </w:rPr>
        <w:t xml:space="preserve"> </w:t>
      </w:r>
      <w:r w:rsidR="00C1475F">
        <w:rPr>
          <w:rFonts w:eastAsiaTheme="minorHAnsi"/>
          <w:lang w:eastAsia="en-US"/>
        </w:rPr>
        <w:t xml:space="preserve">отсутствует </w:t>
      </w:r>
      <w:r w:rsidRPr="00737C20">
        <w:rPr>
          <w:rFonts w:eastAsiaTheme="minorHAnsi"/>
          <w:lang w:eastAsia="en-US"/>
        </w:rPr>
        <w:t>требовани</w:t>
      </w:r>
      <w:r w:rsidR="00C1475F">
        <w:rPr>
          <w:rFonts w:eastAsiaTheme="minorHAnsi"/>
          <w:lang w:eastAsia="en-US"/>
        </w:rPr>
        <w:t>е</w:t>
      </w:r>
      <w:r w:rsidRPr="00737C20">
        <w:rPr>
          <w:rFonts w:eastAsiaTheme="minorHAnsi"/>
          <w:lang w:eastAsia="en-US"/>
        </w:rPr>
        <w:t xml:space="preserve"> </w:t>
      </w:r>
      <w:r w:rsidR="00FB59D2" w:rsidRPr="00737C20">
        <w:rPr>
          <w:rFonts w:eastAsiaTheme="minorHAnsi"/>
          <w:lang w:eastAsia="en-US"/>
        </w:rPr>
        <w:t xml:space="preserve">о принадлежности к аудиторским организациям (индивидуальным аудиторам). </w:t>
      </w:r>
    </w:p>
    <w:p w14:paraId="3FB70F40" w14:textId="79CB13A0" w:rsidR="007F25C7" w:rsidRPr="00737C20" w:rsidRDefault="00FB59D2" w:rsidP="00C13395">
      <w:pPr>
        <w:pStyle w:val="headertext"/>
        <w:shd w:val="clear" w:color="auto" w:fill="FFFFFF"/>
        <w:spacing w:before="0" w:beforeAutospacing="0" w:after="240" w:afterAutospacing="0"/>
        <w:ind w:firstLine="360"/>
        <w:jc w:val="both"/>
        <w:textAlignment w:val="baseline"/>
        <w:rPr>
          <w:rFonts w:eastAsiaTheme="minorHAnsi"/>
          <w:lang w:eastAsia="en-US"/>
        </w:rPr>
      </w:pPr>
      <w:r w:rsidRPr="00737C20">
        <w:rPr>
          <w:rFonts w:eastAsiaTheme="minorHAnsi"/>
          <w:lang w:eastAsia="en-US"/>
        </w:rPr>
        <w:t xml:space="preserve">Тем не менее, с </w:t>
      </w:r>
      <w:r w:rsidR="007F25C7" w:rsidRPr="00737C20">
        <w:rPr>
          <w:rFonts w:eastAsiaTheme="minorHAnsi"/>
          <w:lang w:eastAsia="en-US"/>
        </w:rPr>
        <w:t>1 января 2016 года в Российской Федерации введен в действие Международный стандарт заданий, обеспечивающих уверенность "Задания, обеспечивающие уверенность, в отношении отчетности о выбросах парниковых газов" (МСЗОУ 3410)</w:t>
      </w:r>
      <w:r w:rsidR="003C07CA" w:rsidRPr="003C07CA">
        <w:rPr>
          <w:rFonts w:eastAsiaTheme="minorHAnsi"/>
          <w:lang w:eastAsia="en-US"/>
        </w:rPr>
        <w:t xml:space="preserve"> [14]</w:t>
      </w:r>
      <w:r w:rsidR="007F25C7" w:rsidRPr="00737C20">
        <w:rPr>
          <w:rFonts w:eastAsiaTheme="minorHAnsi"/>
          <w:lang w:eastAsia="en-US"/>
        </w:rPr>
        <w:t>, регламентирующий выполнение заданий в отношении отчета организац</w:t>
      </w:r>
      <w:r w:rsidRPr="00737C20">
        <w:rPr>
          <w:rFonts w:eastAsiaTheme="minorHAnsi"/>
          <w:lang w:eastAsia="en-US"/>
        </w:rPr>
        <w:t xml:space="preserve">ии о выбросах парниковых газов. </w:t>
      </w:r>
      <w:r w:rsidR="00C13395" w:rsidRPr="00737C20">
        <w:rPr>
          <w:rFonts w:eastAsiaTheme="minorHAnsi"/>
          <w:lang w:eastAsia="en-US"/>
        </w:rPr>
        <w:t>Вывод практикующего специалиста в отношении задания, обеспечивающего уверенность, может распространяться как непосредственно на отчет организации о выбросах парниковых газов, так и на отчет об устойчивом развитии, в состав которого входит отчет о выбросах парниковых газов.</w:t>
      </w:r>
    </w:p>
    <w:p w14:paraId="6CD0D686" w14:textId="56FBB993" w:rsidR="007F25C7" w:rsidRPr="007B3308" w:rsidRDefault="007F25C7" w:rsidP="00E8495A">
      <w:pPr>
        <w:pStyle w:val="ConsPlusNormal"/>
        <w:ind w:firstLine="360"/>
        <w:jc w:val="both"/>
        <w:rPr>
          <w:rFonts w:ascii="Times New Roman" w:eastAsiaTheme="minorHAnsi" w:hAnsi="Times New Roman" w:cs="Times New Roman"/>
          <w:sz w:val="24"/>
          <w:szCs w:val="24"/>
          <w:lang w:val="ru-RU"/>
        </w:rPr>
      </w:pPr>
      <w:r w:rsidRPr="00737C20">
        <w:rPr>
          <w:rFonts w:ascii="Times New Roman" w:hAnsi="Times New Roman" w:cs="Times New Roman"/>
          <w:sz w:val="24"/>
          <w:szCs w:val="24"/>
          <w:lang w:val="ru-RU"/>
        </w:rPr>
        <w:t xml:space="preserve"> </w:t>
      </w:r>
      <w:r w:rsidR="00E8495A" w:rsidRPr="00737C20">
        <w:rPr>
          <w:rFonts w:ascii="Times New Roman" w:eastAsiaTheme="minorHAnsi" w:hAnsi="Times New Roman" w:cs="Times New Roman"/>
          <w:sz w:val="24"/>
          <w:szCs w:val="24"/>
          <w:lang w:val="ru-RU"/>
        </w:rPr>
        <w:t>Распоряжением Правительства Российской Федерации от 29.10.2021 г. №3052-р утверждена Стратегия социально-экономического развития Российской Федерации с низким уровнем выбросов парниковых газов до 2050 года</w:t>
      </w:r>
      <w:r w:rsidR="00E8495A">
        <w:rPr>
          <w:rFonts w:ascii="Times New Roman" w:eastAsiaTheme="minorHAnsi" w:hAnsi="Times New Roman" w:cs="Times New Roman"/>
          <w:sz w:val="24"/>
          <w:szCs w:val="24"/>
          <w:lang w:val="ru-RU"/>
        </w:rPr>
        <w:t xml:space="preserve"> (далее - Стратегия)</w:t>
      </w:r>
      <w:r w:rsidR="00E8495A" w:rsidRPr="00737C20">
        <w:rPr>
          <w:rFonts w:ascii="Times New Roman" w:eastAsiaTheme="minorHAnsi" w:hAnsi="Times New Roman" w:cs="Times New Roman"/>
          <w:sz w:val="24"/>
          <w:szCs w:val="24"/>
          <w:lang w:val="ru-RU"/>
        </w:rPr>
        <w:t xml:space="preserve">. </w:t>
      </w:r>
      <w:r w:rsidR="003C07CA" w:rsidRPr="007B3308">
        <w:rPr>
          <w:rFonts w:ascii="Times New Roman" w:eastAsiaTheme="minorHAnsi" w:hAnsi="Times New Roman" w:cs="Times New Roman"/>
          <w:sz w:val="24"/>
          <w:szCs w:val="24"/>
          <w:lang w:val="ru-RU"/>
        </w:rPr>
        <w:t>[10]</w:t>
      </w:r>
    </w:p>
    <w:p w14:paraId="22C2CF70" w14:textId="77777777" w:rsidR="007F25C7" w:rsidRPr="00737C20" w:rsidRDefault="007F25C7" w:rsidP="00C211F0">
      <w:pPr>
        <w:pStyle w:val="headertext"/>
        <w:shd w:val="clear" w:color="auto" w:fill="FFFFFF"/>
        <w:spacing w:before="0" w:beforeAutospacing="0" w:after="240" w:afterAutospacing="0"/>
        <w:ind w:firstLine="360"/>
        <w:jc w:val="both"/>
        <w:textAlignment w:val="baseline"/>
        <w:rPr>
          <w:rFonts w:eastAsiaTheme="minorHAnsi"/>
          <w:lang w:eastAsia="en-US"/>
        </w:rPr>
      </w:pPr>
      <w:r w:rsidRPr="00737C20">
        <w:rPr>
          <w:rFonts w:eastAsiaTheme="minorHAnsi"/>
          <w:lang w:eastAsia="en-US"/>
        </w:rPr>
        <w:t>Стратегия определяет меры по обеспечению к 2030 году сокращения выбросов парниковых газов до 70 процентов относительно уровня 1990 года с учетом максимально возможной поглощающей способности лесов и иных экосистем и при условии устойчивого и сбалансированного социально-экономического развития Российской Федерации, а также определяет направления и меры развития с низким уровнем выбросов парниковых газов до 2050 года.</w:t>
      </w:r>
    </w:p>
    <w:p w14:paraId="269CBFCD" w14:textId="77777777" w:rsidR="007F25C7" w:rsidRPr="00737C20" w:rsidRDefault="007F25C7" w:rsidP="00C211F0">
      <w:pPr>
        <w:pStyle w:val="headertext"/>
        <w:shd w:val="clear" w:color="auto" w:fill="FFFFFF"/>
        <w:spacing w:before="0" w:beforeAutospacing="0" w:after="240" w:afterAutospacing="0"/>
        <w:ind w:firstLine="360"/>
        <w:jc w:val="both"/>
        <w:textAlignment w:val="baseline"/>
        <w:rPr>
          <w:rFonts w:eastAsiaTheme="minorHAnsi"/>
          <w:lang w:eastAsia="en-US"/>
        </w:rPr>
      </w:pPr>
      <w:r w:rsidRPr="00737C20">
        <w:rPr>
          <w:rFonts w:eastAsiaTheme="minorHAnsi"/>
          <w:lang w:eastAsia="en-US"/>
        </w:rPr>
        <w:t xml:space="preserve">В Стратегии предусмотрено обеспечение соответствия международным стандартам российских подходов к определению и верификации устойчивых, в том числе "зеленых", проектов. Наличие собственной системы критериев и верификации устойчивых и переходных "зеленых" проектов позволит существенно расширить круг потенциальных инвесторов таких проектов и обеспечить доступ к более дешевому финансированию, а также избежать рисков неправомерного отнесения продукции к категории "зеленой" и сделать рынок новых финансовых инструментов максимально прозрачным. Внедрение стандартов системы валидации и верификации климатических проектов и верификации углеродной отчетности также предусмотрено сценарием развития. </w:t>
      </w:r>
    </w:p>
    <w:p w14:paraId="6676D338" w14:textId="1A4D1545" w:rsidR="007F25C7" w:rsidRPr="00737C20" w:rsidRDefault="00E152CE" w:rsidP="00C211F0">
      <w:pPr>
        <w:pStyle w:val="headertext"/>
        <w:shd w:val="clear" w:color="auto" w:fill="FFFFFF"/>
        <w:spacing w:before="0" w:beforeAutospacing="0" w:after="240" w:afterAutospacing="0"/>
        <w:ind w:firstLine="360"/>
        <w:jc w:val="both"/>
        <w:textAlignment w:val="baseline"/>
        <w:rPr>
          <w:rFonts w:eastAsiaTheme="minorHAnsi"/>
          <w:lang w:eastAsia="en-US"/>
        </w:rPr>
      </w:pPr>
      <w:hyperlink r:id="rId11" w:tgtFrame="_blank" w:history="1">
        <w:r w:rsidR="007F25C7" w:rsidRPr="00737C20">
          <w:rPr>
            <w:rFonts w:eastAsiaTheme="minorHAnsi"/>
            <w:lang w:eastAsia="en-US"/>
          </w:rPr>
          <w:t>Распоряжением Правительства Российской Федерации №</w:t>
        </w:r>
        <w:r w:rsidR="00B50939">
          <w:rPr>
            <w:rFonts w:eastAsiaTheme="minorHAnsi"/>
            <w:lang w:eastAsia="en-US"/>
          </w:rPr>
          <w:t xml:space="preserve"> </w:t>
        </w:r>
        <w:r w:rsidR="007F25C7" w:rsidRPr="00737C20">
          <w:rPr>
            <w:rFonts w:eastAsiaTheme="minorHAnsi"/>
            <w:lang w:eastAsia="en-US"/>
          </w:rPr>
          <w:t>3024-р</w:t>
        </w:r>
        <w:r w:rsidR="00E8495A">
          <w:rPr>
            <w:rFonts w:eastAsiaTheme="minorHAnsi"/>
            <w:lang w:eastAsia="en-US"/>
          </w:rPr>
          <w:t xml:space="preserve"> </w:t>
        </w:r>
        <w:r w:rsidR="00E8495A" w:rsidRPr="00737C20">
          <w:rPr>
            <w:rFonts w:eastAsiaTheme="minorHAnsi"/>
            <w:lang w:eastAsia="en-US"/>
          </w:rPr>
          <w:t>от 18</w:t>
        </w:r>
        <w:r w:rsidR="00E8495A">
          <w:rPr>
            <w:rFonts w:eastAsiaTheme="minorHAnsi"/>
            <w:lang w:eastAsia="en-US"/>
          </w:rPr>
          <w:t>.11.</w:t>
        </w:r>
        <w:r w:rsidR="00E8495A" w:rsidRPr="00737C20">
          <w:rPr>
            <w:rFonts w:eastAsiaTheme="minorHAnsi"/>
            <w:lang w:eastAsia="en-US"/>
          </w:rPr>
          <w:t>2020</w:t>
        </w:r>
        <w:r w:rsidR="00E8495A">
          <w:rPr>
            <w:rFonts w:eastAsiaTheme="minorHAnsi"/>
            <w:lang w:eastAsia="en-US"/>
          </w:rPr>
          <w:t> </w:t>
        </w:r>
        <w:r w:rsidR="00E8495A" w:rsidRPr="00737C20">
          <w:rPr>
            <w:rFonts w:eastAsiaTheme="minorHAnsi"/>
            <w:lang w:eastAsia="en-US"/>
          </w:rPr>
          <w:t>г</w:t>
        </w:r>
        <w:r w:rsidR="00E8495A">
          <w:rPr>
            <w:rFonts w:eastAsiaTheme="minorHAnsi"/>
            <w:lang w:eastAsia="en-US"/>
          </w:rPr>
          <w:t>.</w:t>
        </w:r>
        <w:r w:rsidR="003C07CA" w:rsidRPr="003C07CA">
          <w:rPr>
            <w:rFonts w:eastAsiaTheme="minorHAnsi"/>
            <w:lang w:eastAsia="en-US"/>
          </w:rPr>
          <w:t xml:space="preserve"> [7]</w:t>
        </w:r>
        <w:r w:rsidR="00E8495A">
          <w:rPr>
            <w:rFonts w:eastAsiaTheme="minorHAnsi"/>
            <w:lang w:eastAsia="en-US"/>
          </w:rPr>
          <w:t>,</w:t>
        </w:r>
      </w:hyperlink>
      <w:r w:rsidR="007F25C7" w:rsidRPr="00737C20">
        <w:rPr>
          <w:rFonts w:eastAsiaTheme="minorHAnsi"/>
          <w:lang w:eastAsia="en-US"/>
        </w:rPr>
        <w:t> </w:t>
      </w:r>
      <w:r w:rsidR="00E8495A" w:rsidRPr="001F364B">
        <w:rPr>
          <w:rFonts w:eastAsiaTheme="minorHAnsi"/>
          <w:lang w:eastAsia="en-US"/>
        </w:rPr>
        <w:t>государственная корпорация развития ВЭБ.РФ</w:t>
      </w:r>
      <w:r w:rsidR="003C07CA" w:rsidRPr="003C07CA">
        <w:rPr>
          <w:rFonts w:eastAsiaTheme="minorHAnsi"/>
          <w:lang w:eastAsia="en-US"/>
        </w:rPr>
        <w:t xml:space="preserve"> [4]</w:t>
      </w:r>
      <w:r w:rsidR="00E8495A" w:rsidRPr="001F364B">
        <w:rPr>
          <w:rFonts w:eastAsiaTheme="minorHAnsi"/>
          <w:lang w:eastAsia="en-US"/>
        </w:rPr>
        <w:t xml:space="preserve"> была определена</w:t>
      </w:r>
      <w:r w:rsidR="00E8495A" w:rsidRPr="00737C20">
        <w:rPr>
          <w:rFonts w:eastAsiaTheme="minorHAnsi"/>
          <w:lang w:eastAsia="en-US"/>
        </w:rPr>
        <w:t xml:space="preserve"> </w:t>
      </w:r>
      <w:r w:rsidR="007F25C7" w:rsidRPr="00737C20">
        <w:rPr>
          <w:rFonts w:eastAsiaTheme="minorHAnsi"/>
          <w:lang w:eastAsia="en-US"/>
        </w:rPr>
        <w:t xml:space="preserve">в качестве методологического центра по финансовым инструментам устойчивого развития. ВЭБ.РФ разработана система </w:t>
      </w:r>
      <w:r w:rsidR="00B50939">
        <w:rPr>
          <w:rFonts w:eastAsiaTheme="minorHAnsi"/>
          <w:lang w:eastAsia="en-US"/>
        </w:rPr>
        <w:t>«</w:t>
      </w:r>
      <w:r w:rsidR="007F25C7" w:rsidRPr="00737C20">
        <w:rPr>
          <w:rFonts w:eastAsiaTheme="minorHAnsi"/>
          <w:lang w:eastAsia="en-US"/>
        </w:rPr>
        <w:t>зеленого</w:t>
      </w:r>
      <w:r w:rsidR="00B50939">
        <w:rPr>
          <w:rFonts w:eastAsiaTheme="minorHAnsi"/>
          <w:lang w:eastAsia="en-US"/>
        </w:rPr>
        <w:t>»</w:t>
      </w:r>
      <w:r w:rsidR="007F25C7" w:rsidRPr="00737C20">
        <w:rPr>
          <w:rFonts w:eastAsiaTheme="minorHAnsi"/>
          <w:lang w:eastAsia="en-US"/>
        </w:rPr>
        <w:t xml:space="preserve"> финансирования, основой которой являются таксономия </w:t>
      </w:r>
      <w:r w:rsidR="00B50939">
        <w:rPr>
          <w:rFonts w:eastAsiaTheme="minorHAnsi"/>
          <w:lang w:eastAsia="en-US"/>
        </w:rPr>
        <w:t>«</w:t>
      </w:r>
      <w:r w:rsidR="007F25C7" w:rsidRPr="00737C20">
        <w:rPr>
          <w:rFonts w:eastAsiaTheme="minorHAnsi"/>
          <w:lang w:eastAsia="en-US"/>
        </w:rPr>
        <w:t>зеленых</w:t>
      </w:r>
      <w:r w:rsidR="00B50939">
        <w:rPr>
          <w:rFonts w:eastAsiaTheme="minorHAnsi"/>
          <w:lang w:eastAsia="en-US"/>
        </w:rPr>
        <w:t>»</w:t>
      </w:r>
      <w:r w:rsidR="007F25C7" w:rsidRPr="00737C20">
        <w:rPr>
          <w:rFonts w:eastAsiaTheme="minorHAnsi"/>
          <w:lang w:eastAsia="en-US"/>
        </w:rPr>
        <w:t xml:space="preserve"> проектов и стандарт </w:t>
      </w:r>
      <w:r w:rsidR="00B50939">
        <w:rPr>
          <w:rFonts w:eastAsiaTheme="minorHAnsi"/>
          <w:lang w:eastAsia="en-US"/>
        </w:rPr>
        <w:t>«</w:t>
      </w:r>
      <w:r w:rsidR="007F25C7" w:rsidRPr="00737C20">
        <w:rPr>
          <w:rFonts w:eastAsiaTheme="minorHAnsi"/>
          <w:lang w:eastAsia="en-US"/>
        </w:rPr>
        <w:t>зеленого</w:t>
      </w:r>
      <w:r w:rsidR="00B50939">
        <w:rPr>
          <w:rFonts w:eastAsiaTheme="minorHAnsi"/>
          <w:lang w:eastAsia="en-US"/>
        </w:rPr>
        <w:t>»</w:t>
      </w:r>
      <w:r w:rsidR="007F25C7" w:rsidRPr="00737C20">
        <w:rPr>
          <w:rFonts w:eastAsiaTheme="minorHAnsi"/>
          <w:lang w:eastAsia="en-US"/>
        </w:rPr>
        <w:t xml:space="preserve"> финансирования (критерии проектов устойчивого развития и требования к системе верификации), утвержденные </w:t>
      </w:r>
      <w:hyperlink r:id="rId12" w:tgtFrame="_blank" w:history="1">
        <w:r w:rsidR="007F25C7" w:rsidRPr="00737C20">
          <w:rPr>
            <w:rFonts w:eastAsiaTheme="minorHAnsi"/>
            <w:lang w:eastAsia="en-US"/>
          </w:rPr>
          <w:t>Постановлением Правительства Российской Федерации №</w:t>
        </w:r>
        <w:r w:rsidR="000F1E05">
          <w:rPr>
            <w:rFonts w:eastAsiaTheme="minorHAnsi"/>
            <w:lang w:eastAsia="en-US"/>
          </w:rPr>
          <w:t> </w:t>
        </w:r>
        <w:r w:rsidR="007F25C7" w:rsidRPr="00737C20">
          <w:rPr>
            <w:rFonts w:eastAsiaTheme="minorHAnsi"/>
            <w:lang w:eastAsia="en-US"/>
          </w:rPr>
          <w:t>1587</w:t>
        </w:r>
        <w:r w:rsidR="003C07CA" w:rsidRPr="003C07CA">
          <w:rPr>
            <w:rFonts w:eastAsiaTheme="minorHAnsi"/>
            <w:lang w:eastAsia="en-US"/>
          </w:rPr>
          <w:t xml:space="preserve"> [6]</w:t>
        </w:r>
        <w:r w:rsidR="003C07CA">
          <w:rPr>
            <w:rFonts w:eastAsiaTheme="minorHAnsi"/>
            <w:lang w:eastAsia="en-US"/>
          </w:rPr>
          <w:t>.</w:t>
        </w:r>
        <w:r w:rsidR="00DB7DF0">
          <w:rPr>
            <w:rFonts w:eastAsiaTheme="minorHAnsi"/>
            <w:lang w:eastAsia="en-US"/>
          </w:rPr>
          <w:t xml:space="preserve">   </w:t>
        </w:r>
      </w:hyperlink>
      <w:r w:rsidR="007F25C7" w:rsidRPr="00737C20">
        <w:rPr>
          <w:rFonts w:eastAsiaTheme="minorHAnsi"/>
          <w:lang w:eastAsia="en-US"/>
        </w:rPr>
        <w:t xml:space="preserve"> Национальной методологией предусмотрена верификация соответствия финансовых инструментов «зеленой» методологии, а также требования к верификаторам. Требований о принадлежности </w:t>
      </w:r>
      <w:r w:rsidR="00B50939">
        <w:rPr>
          <w:rFonts w:eastAsiaTheme="minorHAnsi"/>
          <w:lang w:eastAsia="en-US"/>
        </w:rPr>
        <w:t xml:space="preserve">верификатора </w:t>
      </w:r>
      <w:r w:rsidR="007F25C7" w:rsidRPr="00737C20">
        <w:rPr>
          <w:rFonts w:eastAsiaTheme="minorHAnsi"/>
          <w:lang w:eastAsia="en-US"/>
        </w:rPr>
        <w:t xml:space="preserve">к аудиторской организации не предъявляется. </w:t>
      </w:r>
    </w:p>
    <w:p w14:paraId="7791EA93" w14:textId="4288486C" w:rsidR="008B549F" w:rsidRPr="003C07CA" w:rsidRDefault="008B549F" w:rsidP="008B549F">
      <w:pPr>
        <w:pStyle w:val="1"/>
        <w:rPr>
          <w:rFonts w:ascii="Times New Roman" w:hAnsi="Times New Roman" w:cs="Times New Roman"/>
          <w:sz w:val="24"/>
          <w:szCs w:val="24"/>
        </w:rPr>
      </w:pPr>
      <w:bookmarkStart w:id="7" w:name="_Toc121937465"/>
      <w:bookmarkStart w:id="8" w:name="_Toc122443429"/>
      <w:r w:rsidRPr="00737C20">
        <w:rPr>
          <w:rFonts w:ascii="Times New Roman" w:hAnsi="Times New Roman" w:cs="Times New Roman"/>
          <w:sz w:val="24"/>
          <w:szCs w:val="24"/>
        </w:rPr>
        <w:t>Раздел 3</w:t>
      </w:r>
      <w:r w:rsidR="003A3ED8" w:rsidRPr="00737C20">
        <w:rPr>
          <w:rFonts w:ascii="Times New Roman" w:hAnsi="Times New Roman" w:cs="Times New Roman"/>
          <w:sz w:val="24"/>
          <w:szCs w:val="24"/>
        </w:rPr>
        <w:t xml:space="preserve">. </w:t>
      </w:r>
      <w:bookmarkStart w:id="9" w:name="_Hlk119400676"/>
      <w:r w:rsidRPr="00737C20">
        <w:rPr>
          <w:rFonts w:ascii="Times New Roman" w:hAnsi="Times New Roman" w:cs="Times New Roman"/>
          <w:sz w:val="24"/>
          <w:szCs w:val="24"/>
        </w:rPr>
        <w:t>Обобщение и анализ международной практики верификации/заверения нефинансовой информации</w:t>
      </w:r>
      <w:bookmarkEnd w:id="7"/>
      <w:bookmarkEnd w:id="8"/>
      <w:r w:rsidR="003C07CA" w:rsidRPr="003C07CA">
        <w:rPr>
          <w:rFonts w:ascii="Times New Roman" w:hAnsi="Times New Roman" w:cs="Times New Roman"/>
          <w:sz w:val="24"/>
          <w:szCs w:val="24"/>
        </w:rPr>
        <w:t xml:space="preserve"> </w:t>
      </w:r>
    </w:p>
    <w:bookmarkEnd w:id="9"/>
    <w:p w14:paraId="33E10470" w14:textId="77777777" w:rsidR="00E1082A" w:rsidRDefault="00E1082A" w:rsidP="003350F0">
      <w:pPr>
        <w:pStyle w:val="af3"/>
        <w:rPr>
          <w:rFonts w:ascii="Times New Roman" w:hAnsi="Times New Roman" w:cs="Times New Roman"/>
          <w:b/>
          <w:i w:val="0"/>
          <w:color w:val="auto"/>
        </w:rPr>
      </w:pPr>
    </w:p>
    <w:p w14:paraId="5A73FA0D" w14:textId="014F2EE8" w:rsidR="008B549F" w:rsidRPr="003350F0" w:rsidRDefault="008B549F" w:rsidP="003350F0">
      <w:pPr>
        <w:pStyle w:val="af3"/>
        <w:rPr>
          <w:rFonts w:ascii="Times New Roman" w:hAnsi="Times New Roman" w:cs="Times New Roman"/>
          <w:b/>
          <w:i w:val="0"/>
          <w:color w:val="auto"/>
        </w:rPr>
      </w:pPr>
      <w:r w:rsidRPr="003350F0">
        <w:rPr>
          <w:rFonts w:ascii="Times New Roman" w:hAnsi="Times New Roman" w:cs="Times New Roman"/>
          <w:b/>
          <w:i w:val="0"/>
          <w:color w:val="auto"/>
        </w:rPr>
        <w:t>Европейский Союз</w:t>
      </w:r>
      <w:r w:rsidR="000D3FA6" w:rsidRPr="000D3FA6">
        <w:rPr>
          <w:rFonts w:ascii="Times New Roman" w:hAnsi="Times New Roman" w:cs="Times New Roman"/>
          <w:b/>
          <w:i w:val="0"/>
          <w:color w:val="auto"/>
        </w:rPr>
        <w:t>[19]</w:t>
      </w:r>
    </w:p>
    <w:p w14:paraId="26722D04" w14:textId="7FB8B308" w:rsidR="001F364B" w:rsidRPr="003350F0" w:rsidRDefault="001F364B" w:rsidP="001F364B">
      <w:pPr>
        <w:spacing w:before="40" w:after="80" w:line="240" w:lineRule="auto"/>
        <w:ind w:firstLine="708"/>
        <w:jc w:val="both"/>
        <w:rPr>
          <w:rFonts w:ascii="Times New Roman" w:hAnsi="Times New Roman" w:cs="Times New Roman"/>
          <w:sz w:val="24"/>
          <w:szCs w:val="24"/>
        </w:rPr>
      </w:pPr>
      <w:r w:rsidRPr="003350F0">
        <w:rPr>
          <w:rFonts w:ascii="Times New Roman" w:hAnsi="Times New Roman" w:cs="Times New Roman"/>
          <w:sz w:val="24"/>
          <w:szCs w:val="24"/>
        </w:rPr>
        <w:t xml:space="preserve">На территории ЕС в области нефинансовой отчетности действует Директива 2014/95EU (The Non-Financial Reporting </w:t>
      </w:r>
      <w:proofErr w:type="spellStart"/>
      <w:r w:rsidRPr="003350F0">
        <w:rPr>
          <w:rFonts w:ascii="Times New Roman" w:hAnsi="Times New Roman" w:cs="Times New Roman"/>
          <w:sz w:val="24"/>
          <w:szCs w:val="24"/>
        </w:rPr>
        <w:t>Directive</w:t>
      </w:r>
      <w:proofErr w:type="spellEnd"/>
      <w:r w:rsidRPr="003350F0">
        <w:rPr>
          <w:rFonts w:ascii="Times New Roman" w:hAnsi="Times New Roman" w:cs="Times New Roman"/>
          <w:sz w:val="24"/>
          <w:szCs w:val="24"/>
        </w:rPr>
        <w:t>, NFRD)</w:t>
      </w:r>
      <w:r w:rsidR="003C07CA" w:rsidRPr="003C07CA">
        <w:rPr>
          <w:rFonts w:ascii="Times New Roman" w:hAnsi="Times New Roman" w:cs="Times New Roman"/>
          <w:sz w:val="24"/>
          <w:szCs w:val="24"/>
        </w:rPr>
        <w:t xml:space="preserve"> [17]</w:t>
      </w:r>
      <w:r w:rsidR="00DB7DF0">
        <w:rPr>
          <w:rFonts w:ascii="Times New Roman" w:hAnsi="Times New Roman" w:cs="Times New Roman"/>
          <w:sz w:val="24"/>
          <w:szCs w:val="24"/>
        </w:rPr>
        <w:t xml:space="preserve">. </w:t>
      </w:r>
      <w:r w:rsidRPr="003350F0">
        <w:rPr>
          <w:rFonts w:ascii="Times New Roman" w:hAnsi="Times New Roman" w:cs="Times New Roman"/>
          <w:sz w:val="24"/>
          <w:szCs w:val="24"/>
        </w:rPr>
        <w:t xml:space="preserve">Директива является поправкой к Директиве по бухгалтерскому учету </w:t>
      </w:r>
      <w:r w:rsidRPr="001F364B">
        <w:rPr>
          <w:rFonts w:ascii="Times New Roman" w:hAnsi="Times New Roman" w:cs="Times New Roman"/>
          <w:sz w:val="24"/>
          <w:szCs w:val="24"/>
        </w:rPr>
        <w:t>(далее -</w:t>
      </w:r>
      <w:r>
        <w:rPr>
          <w:rFonts w:ascii="Times New Roman" w:hAnsi="Times New Roman" w:cs="Times New Roman"/>
          <w:sz w:val="24"/>
          <w:szCs w:val="24"/>
        </w:rPr>
        <w:t xml:space="preserve"> </w:t>
      </w:r>
      <w:r w:rsidRPr="003350F0">
        <w:rPr>
          <w:rFonts w:ascii="Times New Roman" w:hAnsi="Times New Roman" w:cs="Times New Roman"/>
          <w:sz w:val="24"/>
          <w:szCs w:val="24"/>
        </w:rPr>
        <w:t>Директива 2013/34/EU)</w:t>
      </w:r>
      <w:r>
        <w:rPr>
          <w:rFonts w:ascii="Times New Roman" w:hAnsi="Times New Roman" w:cs="Times New Roman"/>
          <w:sz w:val="24"/>
          <w:szCs w:val="24"/>
        </w:rPr>
        <w:t xml:space="preserve"> </w:t>
      </w:r>
      <w:r w:rsidRPr="003350F0">
        <w:rPr>
          <w:rFonts w:ascii="Times New Roman" w:hAnsi="Times New Roman" w:cs="Times New Roman"/>
          <w:sz w:val="24"/>
          <w:szCs w:val="24"/>
        </w:rPr>
        <w:t>и была принята в 2014 году. Цель NFRD состоит в том, чтобы повысить прозрачность социальной и экологической информации, публикуемой предприятиями, до высокого уровня во всех государствах-членах ЕС.</w:t>
      </w:r>
    </w:p>
    <w:p w14:paraId="50CFB96B" w14:textId="1F6D2310" w:rsidR="008B549F" w:rsidRPr="00737C20" w:rsidRDefault="008B549F" w:rsidP="003350F0">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 xml:space="preserve">Согласно NFRD крупные компании, банки и страховые компании ("организации, представляющие общественный интерес") с более чем 500 сотрудниками обязаны публиковать отчеты о политике, которую они проводят в отношении: </w:t>
      </w:r>
      <w:r w:rsidRPr="00737C20">
        <w:rPr>
          <w:rFonts w:ascii="Times New Roman" w:hAnsi="Times New Roman" w:cs="Times New Roman"/>
          <w:iCs/>
          <w:sz w:val="24"/>
          <w:szCs w:val="24"/>
          <w:u w:val="single"/>
        </w:rPr>
        <w:t xml:space="preserve">экологических вопросов, социальной ответственности и обращения с сотрудниками; уважения прав человека; борьбы с коррупцией </w:t>
      </w:r>
      <w:r w:rsidR="001F364B" w:rsidRPr="00737C20">
        <w:rPr>
          <w:rFonts w:ascii="Times New Roman" w:hAnsi="Times New Roman" w:cs="Times New Roman"/>
          <w:iCs/>
          <w:sz w:val="24"/>
          <w:szCs w:val="24"/>
          <w:u w:val="single"/>
        </w:rPr>
        <w:t>и взяточничеством</w:t>
      </w:r>
      <w:r w:rsidRPr="00737C20">
        <w:rPr>
          <w:rFonts w:ascii="Times New Roman" w:hAnsi="Times New Roman" w:cs="Times New Roman"/>
          <w:iCs/>
          <w:sz w:val="24"/>
          <w:szCs w:val="24"/>
          <w:u w:val="single"/>
        </w:rPr>
        <w:t>; разнообразия в советах директоров компаний (с точки зрения возраста, пола, образования и профессиональной подготовки).</w:t>
      </w:r>
      <w:r w:rsidRPr="00737C20">
        <w:rPr>
          <w:rFonts w:ascii="Times New Roman" w:hAnsi="Times New Roman" w:cs="Times New Roman"/>
          <w:iCs/>
          <w:sz w:val="24"/>
          <w:szCs w:val="24"/>
        </w:rPr>
        <w:t xml:space="preserve"> В частности, NFRD требует от компаний раскрывать информацию о своих бизнес-моделях, политике, принятой в отношении перечисленных вопросов (включая внедренные процессы </w:t>
      </w:r>
      <w:proofErr w:type="spellStart"/>
      <w:r w:rsidRPr="00737C20">
        <w:rPr>
          <w:rFonts w:ascii="Times New Roman" w:hAnsi="Times New Roman" w:cs="Times New Roman"/>
          <w:iCs/>
          <w:sz w:val="24"/>
          <w:szCs w:val="24"/>
        </w:rPr>
        <w:t>due</w:t>
      </w:r>
      <w:proofErr w:type="spellEnd"/>
      <w:r w:rsidRPr="00737C20">
        <w:rPr>
          <w:rFonts w:ascii="Times New Roman" w:hAnsi="Times New Roman" w:cs="Times New Roman"/>
          <w:iCs/>
          <w:sz w:val="24"/>
          <w:szCs w:val="24"/>
        </w:rPr>
        <w:t xml:space="preserve"> </w:t>
      </w:r>
      <w:proofErr w:type="spellStart"/>
      <w:r w:rsidRPr="00737C20">
        <w:rPr>
          <w:rFonts w:ascii="Times New Roman" w:hAnsi="Times New Roman" w:cs="Times New Roman"/>
          <w:iCs/>
          <w:sz w:val="24"/>
          <w:szCs w:val="24"/>
        </w:rPr>
        <w:t>diligence</w:t>
      </w:r>
      <w:proofErr w:type="spellEnd"/>
      <w:r w:rsidRPr="00737C20">
        <w:rPr>
          <w:rFonts w:ascii="Times New Roman" w:hAnsi="Times New Roman" w:cs="Times New Roman"/>
          <w:iCs/>
          <w:sz w:val="24"/>
          <w:szCs w:val="24"/>
        </w:rPr>
        <w:t>), результатах ее реализации, рисках и управлении рисками, а также ключевых показателях эффективности (</w:t>
      </w:r>
      <w:r w:rsidR="001F364B">
        <w:rPr>
          <w:rFonts w:ascii="Times New Roman" w:hAnsi="Times New Roman" w:cs="Times New Roman"/>
          <w:iCs/>
          <w:sz w:val="24"/>
          <w:szCs w:val="24"/>
        </w:rPr>
        <w:t xml:space="preserve">далее - </w:t>
      </w:r>
      <w:r w:rsidRPr="00737C20">
        <w:rPr>
          <w:rFonts w:ascii="Times New Roman" w:hAnsi="Times New Roman" w:cs="Times New Roman"/>
          <w:iCs/>
          <w:sz w:val="24"/>
          <w:szCs w:val="24"/>
        </w:rPr>
        <w:t>KPI), имеющих отношение к бизнесу. Согласно Директиве, если компания не проводит политику в отношении одного или более из пяти вопросов, упомянутых выше, нефинансовый отчет должен содержать четкое и аргументированное объяснение того, почему она этого не делает.</w:t>
      </w:r>
    </w:p>
    <w:p w14:paraId="4C09172F" w14:textId="77777777" w:rsidR="008B549F" w:rsidRPr="00737C20" w:rsidRDefault="008B549F" w:rsidP="003350F0">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Директива оставляет достаточную степень гибкости в применении своих положений. В частности, она не требует использования стандарта или структуры нефинансовой отчетности, а также не налагает подробных требований к раскрытию информации (таких как списки показателей по секторам). Соответственно, это дает компаниям значительную гибкость в раскрытии соответствующей информации таким образом, который они считают наиболее полезным. В результате компании могут включить нефинансовую отчетность в свой управленческий отчет (management report) или, при определенных условиях, подготовить отдельный отчет.</w:t>
      </w:r>
    </w:p>
    <w:p w14:paraId="13E4828A" w14:textId="29BA864D" w:rsidR="001F364B" w:rsidRPr="00737C20" w:rsidRDefault="001F364B" w:rsidP="001F364B">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Кроме того, компании могут использовать международные, европейские или национальные руководящие принципы для подготовки своих отчетов, в частности, стандарты GRI, SASB, IIRC, рекомендации TCFD, Глобальный договор ООН, руководящие принципы ОЭСР и семейство стандартов ISO 26000</w:t>
      </w:r>
      <w:r w:rsidR="003C07CA" w:rsidRPr="003C07CA">
        <w:rPr>
          <w:rFonts w:ascii="Times New Roman" w:hAnsi="Times New Roman" w:cs="Times New Roman"/>
          <w:iCs/>
          <w:sz w:val="24"/>
          <w:szCs w:val="24"/>
        </w:rPr>
        <w:t xml:space="preserve"> [16]</w:t>
      </w:r>
      <w:r w:rsidRPr="00737C20">
        <w:rPr>
          <w:rFonts w:ascii="Times New Roman" w:hAnsi="Times New Roman" w:cs="Times New Roman"/>
          <w:iCs/>
          <w:sz w:val="24"/>
          <w:szCs w:val="24"/>
        </w:rPr>
        <w:t xml:space="preserve">. С июля 2020 года Европейская консультативная группа по финансовой </w:t>
      </w:r>
      <w:r w:rsidRPr="008614C0">
        <w:rPr>
          <w:rFonts w:ascii="Times New Roman" w:hAnsi="Times New Roman" w:cs="Times New Roman"/>
          <w:iCs/>
          <w:sz w:val="24"/>
          <w:szCs w:val="24"/>
        </w:rPr>
        <w:t>отчетности (далее - EFRAG</w:t>
      </w:r>
      <w:r w:rsidRPr="00737C20">
        <w:rPr>
          <w:rFonts w:ascii="Times New Roman" w:hAnsi="Times New Roman" w:cs="Times New Roman"/>
          <w:iCs/>
          <w:sz w:val="24"/>
          <w:szCs w:val="24"/>
        </w:rPr>
        <w:t>) начала разработку рекомендаций для будущего европейского стандарта нефинансовой отчетности.</w:t>
      </w:r>
    </w:p>
    <w:p w14:paraId="481B9C06" w14:textId="5DFA087F" w:rsidR="008B549F" w:rsidRPr="00737C20" w:rsidRDefault="008B549F" w:rsidP="003350F0">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 xml:space="preserve">Что касается </w:t>
      </w:r>
      <w:r w:rsidR="003350F0">
        <w:rPr>
          <w:rFonts w:ascii="Times New Roman" w:hAnsi="Times New Roman" w:cs="Times New Roman"/>
          <w:iCs/>
          <w:sz w:val="24"/>
          <w:szCs w:val="24"/>
        </w:rPr>
        <w:t xml:space="preserve">вопроса </w:t>
      </w:r>
      <w:r w:rsidRPr="00737C20">
        <w:rPr>
          <w:rFonts w:ascii="Times New Roman" w:hAnsi="Times New Roman" w:cs="Times New Roman"/>
          <w:iCs/>
          <w:sz w:val="24"/>
          <w:szCs w:val="24"/>
        </w:rPr>
        <w:t xml:space="preserve">заверения нефинансовых отчетов (т.е. проверки предоставленной нефинансовой информации), Директива включает только требование о том, чтобы аудитор (государственный аудитор или частная фирма) проверял наличие нефинансовой информации (в виде нефинансового отчета, включенного в отчет руководства, или в виде отдельного отчета). Все государства-члены ЕС должны были включить это требование в национальное законодательство. Директива также предусматривает возможность для государств-членов выйти за рамки этого минимального требования, требуя от законодательно назначаемых аудиторов (государственный аудитор, </w:t>
      </w:r>
      <w:proofErr w:type="spellStart"/>
      <w:r w:rsidRPr="00737C20">
        <w:rPr>
          <w:rFonts w:ascii="Times New Roman" w:hAnsi="Times New Roman" w:cs="Times New Roman"/>
          <w:iCs/>
          <w:sz w:val="24"/>
          <w:szCs w:val="24"/>
        </w:rPr>
        <w:t>statutory</w:t>
      </w:r>
      <w:proofErr w:type="spellEnd"/>
      <w:r w:rsidRPr="00737C20">
        <w:rPr>
          <w:rFonts w:ascii="Times New Roman" w:hAnsi="Times New Roman" w:cs="Times New Roman"/>
          <w:iCs/>
          <w:sz w:val="24"/>
          <w:szCs w:val="24"/>
        </w:rPr>
        <w:t xml:space="preserve"> </w:t>
      </w:r>
      <w:proofErr w:type="spellStart"/>
      <w:r w:rsidRPr="00737C20">
        <w:rPr>
          <w:rFonts w:ascii="Times New Roman" w:hAnsi="Times New Roman" w:cs="Times New Roman"/>
          <w:iCs/>
          <w:sz w:val="24"/>
          <w:szCs w:val="24"/>
        </w:rPr>
        <w:t>auditor</w:t>
      </w:r>
      <w:proofErr w:type="spellEnd"/>
      <w:r w:rsidRPr="00737C20">
        <w:rPr>
          <w:rFonts w:ascii="Times New Roman" w:hAnsi="Times New Roman" w:cs="Times New Roman"/>
          <w:iCs/>
          <w:sz w:val="24"/>
          <w:szCs w:val="24"/>
        </w:rPr>
        <w:t xml:space="preserve">) проведения дополнительных проверок, например, в отношении соответствия предоставленной нефинансовой информации финансовому раскрытию, или путем проверки нефинансовой информации независимым поставщиком аудиторских услуг. Несколько государств-членов в настоящее время используют этот вариант в своем национальном законодательстве. </w:t>
      </w:r>
    </w:p>
    <w:p w14:paraId="663D61D4" w14:textId="77777777" w:rsidR="008B549F" w:rsidRPr="00737C20" w:rsidRDefault="008B549F" w:rsidP="003350F0">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В 2019 и 2020 годах Комиссия провела несколько общественных консультаций с целью сбора данных и мнений об эффективности Директивы и возникающих проблемах, которые необходимо решить в отношении нефинансовой отчетности.</w:t>
      </w:r>
    </w:p>
    <w:p w14:paraId="5BDEDF13" w14:textId="3B72DBDE" w:rsidR="008B549F" w:rsidRPr="00737C20" w:rsidRDefault="008B549F" w:rsidP="003350F0">
      <w:pPr>
        <w:spacing w:before="40" w:after="80"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 xml:space="preserve">По итогам обсуждений 21 апреля 2021 года Комиссия ЕС представила предложение </w:t>
      </w:r>
      <w:r w:rsidRPr="003C07CA">
        <w:rPr>
          <w:rFonts w:ascii="Times New Roman" w:hAnsi="Times New Roman" w:cs="Times New Roman"/>
          <w:bCs/>
          <w:iCs/>
          <w:sz w:val="24"/>
          <w:szCs w:val="24"/>
        </w:rPr>
        <w:t xml:space="preserve">по новой Директиве о корпоративной отчетности в области устойчивого развития </w:t>
      </w:r>
      <w:r w:rsidR="001F364B" w:rsidRPr="003C07CA">
        <w:rPr>
          <w:rFonts w:ascii="Times New Roman" w:hAnsi="Times New Roman" w:cs="Times New Roman"/>
          <w:bCs/>
          <w:iCs/>
          <w:sz w:val="24"/>
          <w:szCs w:val="24"/>
        </w:rPr>
        <w:t>(CSRD) [</w:t>
      </w:r>
      <w:r w:rsidR="003C07CA" w:rsidRPr="003C07CA">
        <w:rPr>
          <w:rFonts w:ascii="Times New Roman" w:hAnsi="Times New Roman" w:cs="Times New Roman"/>
          <w:bCs/>
          <w:iCs/>
          <w:sz w:val="24"/>
          <w:szCs w:val="24"/>
        </w:rPr>
        <w:t>18</w:t>
      </w:r>
      <w:r w:rsidR="001F364B" w:rsidRPr="003C07CA">
        <w:rPr>
          <w:rFonts w:ascii="Times New Roman" w:hAnsi="Times New Roman" w:cs="Times New Roman"/>
          <w:bCs/>
          <w:iCs/>
          <w:sz w:val="24"/>
          <w:szCs w:val="24"/>
        </w:rPr>
        <w:t>].</w:t>
      </w:r>
      <w:r w:rsidR="001F364B" w:rsidRPr="003C07CA">
        <w:rPr>
          <w:rFonts w:ascii="Times New Roman" w:hAnsi="Times New Roman" w:cs="Times New Roman"/>
          <w:iCs/>
          <w:sz w:val="24"/>
          <w:szCs w:val="24"/>
        </w:rPr>
        <w:t xml:space="preserve"> </w:t>
      </w:r>
      <w:r w:rsidRPr="003C07CA">
        <w:rPr>
          <w:rFonts w:ascii="Times New Roman" w:hAnsi="Times New Roman" w:cs="Times New Roman"/>
          <w:iCs/>
          <w:sz w:val="24"/>
          <w:szCs w:val="24"/>
        </w:rPr>
        <w:t>На</w:t>
      </w:r>
      <w:r w:rsidRPr="00737C20">
        <w:rPr>
          <w:rFonts w:ascii="Times New Roman" w:hAnsi="Times New Roman" w:cs="Times New Roman"/>
          <w:iCs/>
          <w:sz w:val="24"/>
          <w:szCs w:val="24"/>
        </w:rPr>
        <w:t xml:space="preserve"> основе этого предложения CSRD внесет изменения в существующие требования к отчетности, включенные в Директиву 2014/95</w:t>
      </w:r>
      <w:r w:rsidRPr="00737C20">
        <w:rPr>
          <w:rFonts w:ascii="Times New Roman" w:hAnsi="Times New Roman" w:cs="Times New Roman"/>
          <w:iCs/>
          <w:sz w:val="24"/>
          <w:szCs w:val="24"/>
          <w:lang w:val="en-US"/>
        </w:rPr>
        <w:t>EU</w:t>
      </w:r>
      <w:r w:rsidRPr="00737C20">
        <w:rPr>
          <w:rFonts w:ascii="Times New Roman" w:hAnsi="Times New Roman" w:cs="Times New Roman"/>
          <w:iCs/>
          <w:sz w:val="24"/>
          <w:szCs w:val="24"/>
        </w:rPr>
        <w:t>. Предложение включает в себя:</w:t>
      </w:r>
    </w:p>
    <w:p w14:paraId="1020CCAC" w14:textId="77777777" w:rsidR="008B549F" w:rsidRPr="00737C20" w:rsidRDefault="008B549F" w:rsidP="003350F0">
      <w:pPr>
        <w:pStyle w:val="a6"/>
        <w:numPr>
          <w:ilvl w:val="0"/>
          <w:numId w:val="5"/>
        </w:numPr>
        <w:spacing w:before="40" w:after="8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расшир</w:t>
      </w:r>
      <w:r w:rsidR="0055673C" w:rsidRPr="00737C20">
        <w:rPr>
          <w:rFonts w:ascii="Times New Roman" w:hAnsi="Times New Roman" w:cs="Times New Roman"/>
          <w:iCs/>
          <w:sz w:val="24"/>
          <w:szCs w:val="24"/>
        </w:rPr>
        <w:t>ение</w:t>
      </w:r>
      <w:r w:rsidRPr="00737C20">
        <w:rPr>
          <w:rFonts w:ascii="Times New Roman" w:hAnsi="Times New Roman" w:cs="Times New Roman"/>
          <w:iCs/>
          <w:sz w:val="24"/>
          <w:szCs w:val="24"/>
        </w:rPr>
        <w:t xml:space="preserve"> распространени</w:t>
      </w:r>
      <w:r w:rsidR="0055673C" w:rsidRPr="00737C20">
        <w:rPr>
          <w:rFonts w:ascii="Times New Roman" w:hAnsi="Times New Roman" w:cs="Times New Roman"/>
          <w:iCs/>
          <w:sz w:val="24"/>
          <w:szCs w:val="24"/>
        </w:rPr>
        <w:t>я</w:t>
      </w:r>
      <w:r w:rsidRPr="00737C20">
        <w:rPr>
          <w:rFonts w:ascii="Times New Roman" w:hAnsi="Times New Roman" w:cs="Times New Roman"/>
          <w:iCs/>
          <w:sz w:val="24"/>
          <w:szCs w:val="24"/>
        </w:rPr>
        <w:t xml:space="preserve"> директивы на все крупные компании и все компании, зарегистрированные на регулируемых рынках (за исключением зарегистрированных микропредприятий)</w:t>
      </w:r>
      <w:r w:rsidR="0055673C" w:rsidRPr="00737C20">
        <w:rPr>
          <w:rFonts w:ascii="Times New Roman" w:hAnsi="Times New Roman" w:cs="Times New Roman"/>
          <w:iCs/>
          <w:sz w:val="24"/>
          <w:szCs w:val="24"/>
        </w:rPr>
        <w:t>;</w:t>
      </w:r>
    </w:p>
    <w:p w14:paraId="5558A41F" w14:textId="77777777" w:rsidR="008B549F" w:rsidRPr="00737C20" w:rsidRDefault="008B549F" w:rsidP="003350F0">
      <w:pPr>
        <w:pStyle w:val="a6"/>
        <w:numPr>
          <w:ilvl w:val="0"/>
          <w:numId w:val="5"/>
        </w:numPr>
        <w:spacing w:before="40" w:after="8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 xml:space="preserve">введение обязательного аудита </w:t>
      </w:r>
      <w:r w:rsidR="0055673C" w:rsidRPr="00737C20">
        <w:rPr>
          <w:rFonts w:ascii="Times New Roman" w:hAnsi="Times New Roman" w:cs="Times New Roman"/>
          <w:iCs/>
          <w:sz w:val="24"/>
          <w:szCs w:val="24"/>
        </w:rPr>
        <w:t xml:space="preserve">(ограниченная уверенность) </w:t>
      </w:r>
      <w:r w:rsidRPr="00737C20">
        <w:rPr>
          <w:rFonts w:ascii="Times New Roman" w:hAnsi="Times New Roman" w:cs="Times New Roman"/>
          <w:iCs/>
          <w:sz w:val="24"/>
          <w:szCs w:val="24"/>
        </w:rPr>
        <w:t>сообщаемой информации</w:t>
      </w:r>
      <w:r w:rsidR="0055673C" w:rsidRPr="00737C20">
        <w:rPr>
          <w:rFonts w:ascii="Times New Roman" w:hAnsi="Times New Roman" w:cs="Times New Roman"/>
          <w:iCs/>
          <w:sz w:val="24"/>
          <w:szCs w:val="24"/>
        </w:rPr>
        <w:t xml:space="preserve"> и постепенный переход на степень разумной уверенности</w:t>
      </w:r>
      <w:r w:rsidRPr="00737C20">
        <w:rPr>
          <w:rFonts w:ascii="Times New Roman" w:hAnsi="Times New Roman" w:cs="Times New Roman"/>
          <w:iCs/>
          <w:sz w:val="24"/>
          <w:szCs w:val="24"/>
        </w:rPr>
        <w:t>;</w:t>
      </w:r>
    </w:p>
    <w:p w14:paraId="449D1799" w14:textId="5C24DA4F" w:rsidR="008B549F" w:rsidRPr="00737C20" w:rsidRDefault="008B549F" w:rsidP="003350F0">
      <w:pPr>
        <w:pStyle w:val="a6"/>
        <w:numPr>
          <w:ilvl w:val="0"/>
          <w:numId w:val="5"/>
        </w:numPr>
        <w:spacing w:before="40" w:after="8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 xml:space="preserve">более подробные требования к отчетности, а также требование к отчету </w:t>
      </w:r>
      <w:r w:rsidR="0055673C" w:rsidRPr="00737C20">
        <w:rPr>
          <w:rFonts w:ascii="Times New Roman" w:hAnsi="Times New Roman" w:cs="Times New Roman"/>
          <w:iCs/>
          <w:sz w:val="24"/>
          <w:szCs w:val="24"/>
        </w:rPr>
        <w:t xml:space="preserve">о </w:t>
      </w:r>
      <w:r w:rsidRPr="00737C20">
        <w:rPr>
          <w:rFonts w:ascii="Times New Roman" w:hAnsi="Times New Roman" w:cs="Times New Roman"/>
          <w:iCs/>
          <w:sz w:val="24"/>
          <w:szCs w:val="24"/>
        </w:rPr>
        <w:t xml:space="preserve"> соответствии обязательным </w:t>
      </w:r>
      <w:r w:rsidR="00D809D2">
        <w:rPr>
          <w:rFonts w:ascii="Times New Roman" w:hAnsi="Times New Roman" w:cs="Times New Roman"/>
          <w:iCs/>
          <w:sz w:val="24"/>
          <w:szCs w:val="24"/>
        </w:rPr>
        <w:t>с</w:t>
      </w:r>
      <w:r w:rsidRPr="00737C20">
        <w:rPr>
          <w:rFonts w:ascii="Times New Roman" w:hAnsi="Times New Roman" w:cs="Times New Roman"/>
          <w:iCs/>
          <w:sz w:val="24"/>
          <w:szCs w:val="24"/>
        </w:rPr>
        <w:t xml:space="preserve">тандартам отчетности ЕС в области устойчивого развития; </w:t>
      </w:r>
    </w:p>
    <w:p w14:paraId="599F165B" w14:textId="77777777" w:rsidR="008B549F" w:rsidRPr="00737C20" w:rsidRDefault="0055673C" w:rsidP="003350F0">
      <w:pPr>
        <w:pStyle w:val="a6"/>
        <w:numPr>
          <w:ilvl w:val="0"/>
          <w:numId w:val="5"/>
        </w:numPr>
        <w:spacing w:before="40" w:after="8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требование</w:t>
      </w:r>
      <w:r w:rsidR="008B549F" w:rsidRPr="00737C20">
        <w:rPr>
          <w:rFonts w:ascii="Times New Roman" w:hAnsi="Times New Roman" w:cs="Times New Roman"/>
          <w:iCs/>
          <w:sz w:val="24"/>
          <w:szCs w:val="24"/>
        </w:rPr>
        <w:t xml:space="preserve"> от компаний цифровой "маркировки" сообщаемой информации, чтобы она была машиночитаемой и передавалась в единую европейскую точку доступа, предусмотренную дорожной картой союза рынков капитала (</w:t>
      </w:r>
      <w:r w:rsidR="008B549F" w:rsidRPr="00737C20">
        <w:rPr>
          <w:rFonts w:ascii="Times New Roman" w:hAnsi="Times New Roman" w:cs="Times New Roman"/>
          <w:iCs/>
          <w:sz w:val="24"/>
          <w:szCs w:val="24"/>
          <w:lang w:val="en-US"/>
        </w:rPr>
        <w:t>capital</w:t>
      </w:r>
      <w:r w:rsidR="008B549F" w:rsidRPr="00737C20">
        <w:rPr>
          <w:rFonts w:ascii="Times New Roman" w:hAnsi="Times New Roman" w:cs="Times New Roman"/>
          <w:iCs/>
          <w:sz w:val="24"/>
          <w:szCs w:val="24"/>
        </w:rPr>
        <w:t xml:space="preserve"> </w:t>
      </w:r>
      <w:r w:rsidR="008B549F" w:rsidRPr="00737C20">
        <w:rPr>
          <w:rFonts w:ascii="Times New Roman" w:hAnsi="Times New Roman" w:cs="Times New Roman"/>
          <w:iCs/>
          <w:sz w:val="24"/>
          <w:szCs w:val="24"/>
          <w:lang w:val="en-US"/>
        </w:rPr>
        <w:t>markets</w:t>
      </w:r>
      <w:r w:rsidR="008B549F" w:rsidRPr="00737C20">
        <w:rPr>
          <w:rFonts w:ascii="Times New Roman" w:hAnsi="Times New Roman" w:cs="Times New Roman"/>
          <w:iCs/>
          <w:sz w:val="24"/>
          <w:szCs w:val="24"/>
        </w:rPr>
        <w:t xml:space="preserve"> </w:t>
      </w:r>
      <w:r w:rsidR="008B549F" w:rsidRPr="00737C20">
        <w:rPr>
          <w:rFonts w:ascii="Times New Roman" w:hAnsi="Times New Roman" w:cs="Times New Roman"/>
          <w:iCs/>
          <w:sz w:val="24"/>
          <w:szCs w:val="24"/>
          <w:lang w:val="en-US"/>
        </w:rPr>
        <w:t>union</w:t>
      </w:r>
      <w:r w:rsidR="008B549F" w:rsidRPr="00737C20">
        <w:rPr>
          <w:rFonts w:ascii="Times New Roman" w:hAnsi="Times New Roman" w:cs="Times New Roman"/>
          <w:iCs/>
          <w:sz w:val="24"/>
          <w:szCs w:val="24"/>
        </w:rPr>
        <w:t>).</w:t>
      </w:r>
    </w:p>
    <w:p w14:paraId="47298FBA" w14:textId="670E12F4" w:rsidR="008B549F" w:rsidRDefault="008B549F" w:rsidP="008B549F">
      <w:pPr>
        <w:jc w:val="both"/>
        <w:rPr>
          <w:rFonts w:ascii="Times New Roman" w:hAnsi="Times New Roman" w:cs="Times New Roman"/>
          <w:iCs/>
          <w:sz w:val="24"/>
          <w:szCs w:val="24"/>
        </w:rPr>
      </w:pPr>
    </w:p>
    <w:p w14:paraId="21FA01F8" w14:textId="4F5960A1" w:rsidR="00BD046D" w:rsidRPr="00737C20" w:rsidRDefault="00BD046D" w:rsidP="00BD046D">
      <w:pPr>
        <w:spacing w:before="40" w:after="80"/>
        <w:jc w:val="both"/>
        <w:rPr>
          <w:rFonts w:ascii="Times New Roman" w:hAnsi="Times New Roman" w:cs="Times New Roman"/>
          <w:iCs/>
          <w:sz w:val="24"/>
          <w:szCs w:val="24"/>
        </w:rPr>
      </w:pPr>
      <w:r w:rsidRPr="00B76F94">
        <w:rPr>
          <w:rFonts w:ascii="Times New Roman" w:hAnsi="Times New Roman" w:cs="Times New Roman"/>
          <w:bCs/>
          <w:iCs/>
          <w:sz w:val="24"/>
          <w:szCs w:val="24"/>
        </w:rPr>
        <w:t>Таблица</w:t>
      </w:r>
      <w:r>
        <w:rPr>
          <w:rFonts w:ascii="Times New Roman" w:hAnsi="Times New Roman" w:cs="Times New Roman"/>
          <w:bCs/>
          <w:iCs/>
          <w:sz w:val="24"/>
          <w:szCs w:val="24"/>
        </w:rPr>
        <w:t xml:space="preserve"> 1</w:t>
      </w:r>
      <w:r w:rsidRPr="00B76F94">
        <w:rPr>
          <w:rFonts w:ascii="Times New Roman" w:hAnsi="Times New Roman" w:cs="Times New Roman"/>
          <w:bCs/>
          <w:iCs/>
          <w:sz w:val="24"/>
          <w:szCs w:val="24"/>
        </w:rPr>
        <w:t xml:space="preserve"> - Краткое описание новой Директив</w:t>
      </w:r>
      <w:r>
        <w:rPr>
          <w:rFonts w:ascii="Times New Roman" w:hAnsi="Times New Roman" w:cs="Times New Roman"/>
          <w:bCs/>
          <w:iCs/>
          <w:sz w:val="24"/>
          <w:szCs w:val="24"/>
        </w:rPr>
        <w:t>ы</w:t>
      </w:r>
      <w:r w:rsidRPr="00B76F94">
        <w:rPr>
          <w:rFonts w:ascii="Times New Roman" w:hAnsi="Times New Roman" w:cs="Times New Roman"/>
          <w:bCs/>
          <w:iCs/>
          <w:sz w:val="24"/>
          <w:szCs w:val="24"/>
        </w:rPr>
        <w:t xml:space="preserve"> (</w:t>
      </w:r>
      <w:r w:rsidRPr="00B76F94">
        <w:rPr>
          <w:rFonts w:ascii="Times New Roman" w:hAnsi="Times New Roman" w:cs="Times New Roman"/>
          <w:bCs/>
          <w:iCs/>
          <w:sz w:val="24"/>
          <w:szCs w:val="24"/>
          <w:lang w:val="en-US"/>
        </w:rPr>
        <w:t>CSRD</w:t>
      </w:r>
      <w:r w:rsidRPr="00B76F94">
        <w:rPr>
          <w:rFonts w:ascii="Times New Roman" w:hAnsi="Times New Roman" w:cs="Times New Roman"/>
          <w:bCs/>
          <w:iCs/>
          <w:sz w:val="24"/>
          <w:szCs w:val="24"/>
        </w:rPr>
        <w:t>)</w:t>
      </w:r>
    </w:p>
    <w:tbl>
      <w:tblPr>
        <w:tblStyle w:val="a7"/>
        <w:tblW w:w="0" w:type="auto"/>
        <w:tblLook w:val="04A0" w:firstRow="1" w:lastRow="0" w:firstColumn="1" w:lastColumn="0" w:noHBand="0" w:noVBand="1"/>
      </w:tblPr>
      <w:tblGrid>
        <w:gridCol w:w="1980"/>
        <w:gridCol w:w="7342"/>
      </w:tblGrid>
      <w:tr w:rsidR="00BD046D" w:rsidRPr="00737C20" w14:paraId="25801445" w14:textId="77777777" w:rsidTr="00645C75">
        <w:trPr>
          <w:trHeight w:val="735"/>
        </w:trPr>
        <w:tc>
          <w:tcPr>
            <w:tcW w:w="1980" w:type="dxa"/>
            <w:vAlign w:val="center"/>
          </w:tcPr>
          <w:p w14:paraId="1DFB9B6A" w14:textId="27EE6507" w:rsidR="00BD046D" w:rsidRPr="00737C20" w:rsidRDefault="00BD046D" w:rsidP="00BD046D">
            <w:pPr>
              <w:jc w:val="both"/>
              <w:rPr>
                <w:rFonts w:ascii="Times New Roman" w:hAnsi="Times New Roman" w:cs="Times New Roman"/>
                <w:iCs/>
                <w:sz w:val="24"/>
                <w:szCs w:val="24"/>
              </w:rPr>
            </w:pPr>
            <w:r w:rsidRPr="00B76F94">
              <w:rPr>
                <w:rFonts w:ascii="Times New Roman" w:hAnsi="Times New Roman" w:cs="Times New Roman"/>
                <w:iCs/>
                <w:sz w:val="24"/>
                <w:szCs w:val="24"/>
              </w:rPr>
              <w:t>Элемент</w:t>
            </w:r>
          </w:p>
        </w:tc>
        <w:tc>
          <w:tcPr>
            <w:tcW w:w="7342" w:type="dxa"/>
            <w:vAlign w:val="center"/>
          </w:tcPr>
          <w:p w14:paraId="5885F11F" w14:textId="7FA68B2A" w:rsidR="00BD046D" w:rsidRPr="00737C20" w:rsidRDefault="00BD046D" w:rsidP="00BD046D">
            <w:pPr>
              <w:jc w:val="both"/>
              <w:rPr>
                <w:rFonts w:ascii="Times New Roman" w:hAnsi="Times New Roman" w:cs="Times New Roman"/>
                <w:iCs/>
                <w:sz w:val="24"/>
                <w:szCs w:val="24"/>
              </w:rPr>
            </w:pPr>
            <w:r w:rsidRPr="00B76F94">
              <w:rPr>
                <w:rFonts w:ascii="Times New Roman" w:hAnsi="Times New Roman" w:cs="Times New Roman"/>
                <w:iCs/>
                <w:sz w:val="24"/>
                <w:szCs w:val="24"/>
              </w:rPr>
              <w:t>Описание элемента Директивы</w:t>
            </w:r>
          </w:p>
        </w:tc>
      </w:tr>
      <w:tr w:rsidR="00BD046D" w:rsidRPr="00737C20" w14:paraId="42644BED" w14:textId="77777777" w:rsidTr="00645C75">
        <w:trPr>
          <w:trHeight w:val="735"/>
        </w:trPr>
        <w:tc>
          <w:tcPr>
            <w:tcW w:w="1980" w:type="dxa"/>
          </w:tcPr>
          <w:p w14:paraId="4A716A76" w14:textId="39CEF68C" w:rsidR="00BD046D" w:rsidRPr="00737C20" w:rsidRDefault="008614C0" w:rsidP="00BD046D">
            <w:pPr>
              <w:jc w:val="both"/>
              <w:rPr>
                <w:rFonts w:ascii="Times New Roman" w:hAnsi="Times New Roman" w:cs="Times New Roman"/>
                <w:iCs/>
                <w:sz w:val="24"/>
                <w:szCs w:val="24"/>
              </w:rPr>
            </w:pPr>
            <w:r>
              <w:rPr>
                <w:rFonts w:ascii="Times New Roman" w:hAnsi="Times New Roman" w:cs="Times New Roman"/>
                <w:iCs/>
                <w:sz w:val="24"/>
                <w:szCs w:val="24"/>
              </w:rPr>
              <w:t>Общее описание</w:t>
            </w:r>
          </w:p>
        </w:tc>
        <w:tc>
          <w:tcPr>
            <w:tcW w:w="7342" w:type="dxa"/>
            <w:vAlign w:val="center"/>
          </w:tcPr>
          <w:p w14:paraId="7C0E0F0C"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Директива внесет изменения в директиву по нефинансовой отчетности, бухгалтерскому учету, директиву о прозрачности, директиву по аудиту и положение об аудите.</w:t>
            </w:r>
          </w:p>
        </w:tc>
      </w:tr>
      <w:tr w:rsidR="00BD046D" w:rsidRPr="00737C20" w14:paraId="37AAAADF" w14:textId="77777777" w:rsidTr="00645C75">
        <w:trPr>
          <w:trHeight w:val="1175"/>
        </w:trPr>
        <w:tc>
          <w:tcPr>
            <w:tcW w:w="1980" w:type="dxa"/>
          </w:tcPr>
          <w:p w14:paraId="1CC193A6"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Цель</w:t>
            </w:r>
          </w:p>
        </w:tc>
        <w:tc>
          <w:tcPr>
            <w:tcW w:w="7342" w:type="dxa"/>
            <w:vAlign w:val="center"/>
          </w:tcPr>
          <w:p w14:paraId="494A04E5" w14:textId="0CD7F14D"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CSRD будет использовать потенциал единого европейского рынка для содействия переходу к полностью устойчивой и инклюзивной экономической и финансовой системе в соответствии с Европейской "Зеленой сделкой" и </w:t>
            </w:r>
            <w:r>
              <w:rPr>
                <w:rFonts w:ascii="Times New Roman" w:hAnsi="Times New Roman" w:cs="Times New Roman"/>
                <w:iCs/>
                <w:sz w:val="24"/>
                <w:szCs w:val="24"/>
              </w:rPr>
              <w:t>ц</w:t>
            </w:r>
            <w:r w:rsidRPr="00737C20">
              <w:rPr>
                <w:rFonts w:ascii="Times New Roman" w:hAnsi="Times New Roman" w:cs="Times New Roman"/>
                <w:iCs/>
                <w:sz w:val="24"/>
                <w:szCs w:val="24"/>
              </w:rPr>
              <w:t>елями устойчивого развития ООН.</w:t>
            </w:r>
          </w:p>
        </w:tc>
      </w:tr>
      <w:tr w:rsidR="00BD046D" w:rsidRPr="00737C20" w14:paraId="31942AD9" w14:textId="77777777" w:rsidTr="00645C75">
        <w:tc>
          <w:tcPr>
            <w:tcW w:w="1980" w:type="dxa"/>
          </w:tcPr>
          <w:p w14:paraId="2969F325"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Охват</w:t>
            </w:r>
          </w:p>
        </w:tc>
        <w:tc>
          <w:tcPr>
            <w:tcW w:w="7342" w:type="dxa"/>
            <w:vAlign w:val="center"/>
          </w:tcPr>
          <w:p w14:paraId="60A1ACE1"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Требования распространяются примерно на 50 000 компаний, включая:</w:t>
            </w:r>
          </w:p>
          <w:p w14:paraId="357216CB" w14:textId="5350E054"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 </w:t>
            </w:r>
            <w:r>
              <w:rPr>
                <w:rFonts w:ascii="Times New Roman" w:hAnsi="Times New Roman" w:cs="Times New Roman"/>
                <w:iCs/>
                <w:sz w:val="24"/>
                <w:szCs w:val="24"/>
              </w:rPr>
              <w:t>в</w:t>
            </w:r>
            <w:r w:rsidRPr="00737C20">
              <w:rPr>
                <w:rFonts w:ascii="Times New Roman" w:hAnsi="Times New Roman" w:cs="Times New Roman"/>
                <w:iCs/>
                <w:sz w:val="24"/>
                <w:szCs w:val="24"/>
              </w:rPr>
              <w:t xml:space="preserve">се крупные компании, соответствующие по крайней мере 2 из 3 критериев: </w:t>
            </w:r>
          </w:p>
          <w:p w14:paraId="74E14887" w14:textId="77777777" w:rsidR="00BD046D" w:rsidRPr="00737C20" w:rsidRDefault="00BD046D" w:rsidP="00BD046D">
            <w:pPr>
              <w:pStyle w:val="a6"/>
              <w:numPr>
                <w:ilvl w:val="0"/>
                <w:numId w:val="4"/>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250 сотрудников и/или</w:t>
            </w:r>
          </w:p>
          <w:p w14:paraId="01A85AA2" w14:textId="60BAC9AF" w:rsidR="00BD046D" w:rsidRPr="00737C20" w:rsidRDefault="00BD046D" w:rsidP="00BD046D">
            <w:pPr>
              <w:pStyle w:val="a6"/>
              <w:numPr>
                <w:ilvl w:val="0"/>
                <w:numId w:val="4"/>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о</w:t>
            </w:r>
            <w:r w:rsidRPr="00737C20">
              <w:rPr>
                <w:rFonts w:ascii="Times New Roman" w:hAnsi="Times New Roman" w:cs="Times New Roman"/>
                <w:iCs/>
                <w:sz w:val="24"/>
                <w:szCs w:val="24"/>
              </w:rPr>
              <w:t>борот &gt; 40 млн евро и/или</w:t>
            </w:r>
          </w:p>
          <w:p w14:paraId="32A9A86F" w14:textId="78D8303D" w:rsidR="00BD046D" w:rsidRPr="00737C20" w:rsidRDefault="00BD046D" w:rsidP="00BD046D">
            <w:pPr>
              <w:pStyle w:val="a6"/>
              <w:numPr>
                <w:ilvl w:val="0"/>
                <w:numId w:val="4"/>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о</w:t>
            </w:r>
            <w:r w:rsidRPr="00737C20">
              <w:rPr>
                <w:rFonts w:ascii="Times New Roman" w:hAnsi="Times New Roman" w:cs="Times New Roman"/>
                <w:iCs/>
                <w:sz w:val="24"/>
                <w:szCs w:val="24"/>
              </w:rPr>
              <w:t>бщая сумма активов &gt; 20 млн Евро</w:t>
            </w:r>
            <w:r>
              <w:rPr>
                <w:rFonts w:ascii="Times New Roman" w:hAnsi="Times New Roman" w:cs="Times New Roman"/>
                <w:iCs/>
                <w:sz w:val="24"/>
                <w:szCs w:val="24"/>
              </w:rPr>
              <w:t>;</w:t>
            </w:r>
          </w:p>
          <w:p w14:paraId="31AF6AEA" w14:textId="18BF830F"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 </w:t>
            </w:r>
            <w:r>
              <w:rPr>
                <w:rFonts w:ascii="Times New Roman" w:hAnsi="Times New Roman" w:cs="Times New Roman"/>
                <w:iCs/>
                <w:sz w:val="24"/>
                <w:szCs w:val="24"/>
              </w:rPr>
              <w:t>в</w:t>
            </w:r>
            <w:r w:rsidRPr="00737C20">
              <w:rPr>
                <w:rFonts w:ascii="Times New Roman" w:hAnsi="Times New Roman" w:cs="Times New Roman"/>
                <w:iCs/>
                <w:sz w:val="24"/>
                <w:szCs w:val="24"/>
              </w:rPr>
              <w:t>се зарегистрированные компании в ЕС, включая малые и средние предприятия</w:t>
            </w:r>
            <w:r>
              <w:rPr>
                <w:rFonts w:ascii="Times New Roman" w:hAnsi="Times New Roman" w:cs="Times New Roman"/>
                <w:iCs/>
                <w:sz w:val="24"/>
                <w:szCs w:val="24"/>
              </w:rPr>
              <w:t>.</w:t>
            </w:r>
          </w:p>
          <w:p w14:paraId="31A56804" w14:textId="06138356"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В нем будет предусмотрено освещение тем устойчивого развития, включенных в обязательные </w:t>
            </w:r>
            <w:r>
              <w:rPr>
                <w:rFonts w:ascii="Times New Roman" w:hAnsi="Times New Roman" w:cs="Times New Roman"/>
                <w:iCs/>
                <w:sz w:val="24"/>
                <w:szCs w:val="24"/>
              </w:rPr>
              <w:t>с</w:t>
            </w:r>
            <w:r w:rsidRPr="00737C20">
              <w:rPr>
                <w:rFonts w:ascii="Times New Roman" w:hAnsi="Times New Roman" w:cs="Times New Roman"/>
                <w:iCs/>
                <w:sz w:val="24"/>
                <w:szCs w:val="24"/>
              </w:rPr>
              <w:t>тандарты отчетности ЕС по устойчивому развитию.</w:t>
            </w:r>
          </w:p>
        </w:tc>
      </w:tr>
    </w:tbl>
    <w:p w14:paraId="4AD580A3" w14:textId="1CA58335" w:rsidR="008B549F" w:rsidRPr="00737C20" w:rsidRDefault="008B549F" w:rsidP="003350F0">
      <w:pPr>
        <w:spacing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 xml:space="preserve">С принятием Директивы о корпоративной отчетности в области устойчивого развития (CSRD) </w:t>
      </w:r>
      <w:r w:rsidR="00D4443C">
        <w:rPr>
          <w:rFonts w:ascii="Times New Roman" w:hAnsi="Times New Roman" w:cs="Times New Roman"/>
          <w:iCs/>
          <w:sz w:val="24"/>
          <w:szCs w:val="24"/>
        </w:rPr>
        <w:t xml:space="preserve">компании </w:t>
      </w:r>
      <w:r w:rsidRPr="00737C20">
        <w:rPr>
          <w:rFonts w:ascii="Times New Roman" w:hAnsi="Times New Roman" w:cs="Times New Roman"/>
          <w:iCs/>
          <w:sz w:val="24"/>
          <w:szCs w:val="24"/>
        </w:rPr>
        <w:t xml:space="preserve">будут обязаны представлять информацию об устойчивом развитии в соответствии с обязательными стандартами отчетности ЕС в области устойчивого развития и </w:t>
      </w:r>
      <w:r w:rsidR="008614C0">
        <w:rPr>
          <w:rFonts w:ascii="Times New Roman" w:hAnsi="Times New Roman" w:cs="Times New Roman"/>
          <w:iCs/>
          <w:sz w:val="24"/>
          <w:szCs w:val="24"/>
        </w:rPr>
        <w:t xml:space="preserve">проводить </w:t>
      </w:r>
      <w:r w:rsidRPr="00737C20">
        <w:rPr>
          <w:rFonts w:ascii="Times New Roman" w:hAnsi="Times New Roman" w:cs="Times New Roman"/>
          <w:iCs/>
          <w:sz w:val="24"/>
          <w:szCs w:val="24"/>
        </w:rPr>
        <w:t>двойную оценку существенности (</w:t>
      </w:r>
      <w:r w:rsidRPr="00737C20">
        <w:rPr>
          <w:rFonts w:ascii="Times New Roman" w:hAnsi="Times New Roman" w:cs="Times New Roman"/>
          <w:iCs/>
          <w:sz w:val="24"/>
          <w:szCs w:val="24"/>
          <w:lang w:val="en-US"/>
        </w:rPr>
        <w:t>double</w:t>
      </w:r>
      <w:r w:rsidRPr="00737C20">
        <w:rPr>
          <w:rFonts w:ascii="Times New Roman" w:hAnsi="Times New Roman" w:cs="Times New Roman"/>
          <w:iCs/>
          <w:sz w:val="24"/>
          <w:szCs w:val="24"/>
        </w:rPr>
        <w:t xml:space="preserve"> </w:t>
      </w:r>
      <w:r w:rsidRPr="00737C20">
        <w:rPr>
          <w:rFonts w:ascii="Times New Roman" w:hAnsi="Times New Roman" w:cs="Times New Roman"/>
          <w:iCs/>
          <w:sz w:val="24"/>
          <w:szCs w:val="24"/>
          <w:lang w:val="en-US"/>
        </w:rPr>
        <w:t>materiality</w:t>
      </w:r>
      <w:r w:rsidRPr="00737C20">
        <w:rPr>
          <w:rFonts w:ascii="Times New Roman" w:hAnsi="Times New Roman" w:cs="Times New Roman"/>
          <w:iCs/>
          <w:sz w:val="24"/>
          <w:szCs w:val="24"/>
        </w:rPr>
        <w:t xml:space="preserve">). </w:t>
      </w:r>
    </w:p>
    <w:p w14:paraId="7BB4DAE8" w14:textId="77777777" w:rsidR="008B549F" w:rsidRDefault="008B549F" w:rsidP="003350F0">
      <w:pPr>
        <w:spacing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Двойная существенность (</w:t>
      </w:r>
      <w:r w:rsidRPr="00737C20">
        <w:rPr>
          <w:rFonts w:ascii="Times New Roman" w:hAnsi="Times New Roman" w:cs="Times New Roman"/>
          <w:iCs/>
          <w:sz w:val="24"/>
          <w:szCs w:val="24"/>
          <w:lang w:val="en-US"/>
        </w:rPr>
        <w:t>double</w:t>
      </w:r>
      <w:r w:rsidRPr="00737C20">
        <w:rPr>
          <w:rFonts w:ascii="Times New Roman" w:hAnsi="Times New Roman" w:cs="Times New Roman"/>
          <w:iCs/>
          <w:sz w:val="24"/>
          <w:szCs w:val="24"/>
        </w:rPr>
        <w:t xml:space="preserve"> </w:t>
      </w:r>
      <w:r w:rsidRPr="00737C20">
        <w:rPr>
          <w:rFonts w:ascii="Times New Roman" w:hAnsi="Times New Roman" w:cs="Times New Roman"/>
          <w:iCs/>
          <w:sz w:val="24"/>
          <w:szCs w:val="24"/>
          <w:lang w:val="en-US"/>
        </w:rPr>
        <w:t>materiality</w:t>
      </w:r>
      <w:r w:rsidRPr="00737C20">
        <w:rPr>
          <w:rFonts w:ascii="Times New Roman" w:hAnsi="Times New Roman" w:cs="Times New Roman"/>
          <w:iCs/>
          <w:sz w:val="24"/>
          <w:szCs w:val="24"/>
        </w:rPr>
        <w:t>) означает, что риски и возможности компании могут быть существенными как с финансовой</w:t>
      </w:r>
      <w:r w:rsidR="004D2693">
        <w:rPr>
          <w:rFonts w:ascii="Times New Roman" w:hAnsi="Times New Roman" w:cs="Times New Roman"/>
          <w:iCs/>
          <w:sz w:val="24"/>
          <w:szCs w:val="24"/>
        </w:rPr>
        <w:t xml:space="preserve"> точки зрения</w:t>
      </w:r>
      <w:r w:rsidRPr="00737C20">
        <w:rPr>
          <w:rFonts w:ascii="Times New Roman" w:hAnsi="Times New Roman" w:cs="Times New Roman"/>
          <w:iCs/>
          <w:sz w:val="24"/>
          <w:szCs w:val="24"/>
        </w:rPr>
        <w:t>, так и с точки зрения воздействия (</w:t>
      </w:r>
      <w:r w:rsidRPr="00737C20">
        <w:rPr>
          <w:rFonts w:ascii="Times New Roman" w:hAnsi="Times New Roman" w:cs="Times New Roman"/>
          <w:iCs/>
          <w:sz w:val="24"/>
          <w:szCs w:val="24"/>
          <w:lang w:val="en-US"/>
        </w:rPr>
        <w:t>impact</w:t>
      </w:r>
      <w:r w:rsidRPr="00737C20">
        <w:rPr>
          <w:rFonts w:ascii="Times New Roman" w:hAnsi="Times New Roman" w:cs="Times New Roman"/>
          <w:iCs/>
          <w:sz w:val="24"/>
          <w:szCs w:val="24"/>
        </w:rPr>
        <w:t>). Другими словами, информация, которая является существенной с экологической и социальной точек зрения, может иметь финансовые последствия в настоящее время или в будущем.</w:t>
      </w:r>
      <w:r w:rsidR="003350F0">
        <w:rPr>
          <w:rFonts w:ascii="Times New Roman" w:hAnsi="Times New Roman" w:cs="Times New Roman"/>
          <w:iCs/>
          <w:sz w:val="24"/>
          <w:szCs w:val="24"/>
        </w:rPr>
        <w:t xml:space="preserve"> </w:t>
      </w:r>
      <w:r w:rsidRPr="00737C20">
        <w:rPr>
          <w:rFonts w:ascii="Times New Roman" w:hAnsi="Times New Roman" w:cs="Times New Roman"/>
          <w:iCs/>
          <w:sz w:val="24"/>
          <w:szCs w:val="24"/>
        </w:rPr>
        <w:t>Несмотря на название, двойная оценка существенности не требует проведения двух отдельных оценок или составления двух отдельных матриц. Требуется сбор доказательств, оценки и объяснения того, почему проблемы являются существенными с точки зрения “воздействия” и/или с “финансовой” точки зрения.</w:t>
      </w:r>
    </w:p>
    <w:p w14:paraId="1DE4C961" w14:textId="77777777" w:rsidR="008614C0" w:rsidRPr="00737C20" w:rsidRDefault="008614C0" w:rsidP="008614C0">
      <w:pPr>
        <w:spacing w:line="240" w:lineRule="auto"/>
        <w:ind w:firstLine="708"/>
        <w:jc w:val="both"/>
        <w:rPr>
          <w:rFonts w:ascii="Times New Roman" w:hAnsi="Times New Roman" w:cs="Times New Roman"/>
          <w:iCs/>
          <w:sz w:val="24"/>
          <w:szCs w:val="24"/>
        </w:rPr>
      </w:pPr>
      <w:r w:rsidRPr="00737C20">
        <w:rPr>
          <w:rFonts w:ascii="Times New Roman" w:hAnsi="Times New Roman" w:cs="Times New Roman"/>
          <w:iCs/>
          <w:sz w:val="24"/>
          <w:szCs w:val="24"/>
        </w:rPr>
        <w:t xml:space="preserve">Ожидается, что Европейская консультативная группа по финансовой отчетности (EFRAG) опубликует первый проект стандарта </w:t>
      </w:r>
      <w:r>
        <w:rPr>
          <w:rFonts w:ascii="Times New Roman" w:hAnsi="Times New Roman" w:cs="Times New Roman"/>
          <w:iCs/>
          <w:sz w:val="24"/>
          <w:szCs w:val="24"/>
        </w:rPr>
        <w:t xml:space="preserve">двойной оценки существенности к концу </w:t>
      </w:r>
      <w:r w:rsidRPr="00737C20">
        <w:rPr>
          <w:rFonts w:ascii="Times New Roman" w:hAnsi="Times New Roman" w:cs="Times New Roman"/>
          <w:iCs/>
          <w:sz w:val="24"/>
          <w:szCs w:val="24"/>
        </w:rPr>
        <w:t>2022 года.</w:t>
      </w:r>
    </w:p>
    <w:p w14:paraId="4181714F" w14:textId="77777777" w:rsidR="008614C0" w:rsidRPr="00737C20" w:rsidRDefault="008614C0" w:rsidP="003350F0">
      <w:pPr>
        <w:spacing w:line="240" w:lineRule="auto"/>
        <w:ind w:firstLine="708"/>
        <w:jc w:val="both"/>
        <w:rPr>
          <w:rFonts w:ascii="Times New Roman" w:hAnsi="Times New Roman" w:cs="Times New Roman"/>
          <w:iCs/>
          <w:sz w:val="24"/>
          <w:szCs w:val="24"/>
        </w:rPr>
      </w:pPr>
    </w:p>
    <w:p w14:paraId="643EF37C" w14:textId="191AFDA5" w:rsidR="008B549F" w:rsidRPr="003350F0" w:rsidRDefault="008B549F" w:rsidP="003350F0">
      <w:pPr>
        <w:pStyle w:val="af3"/>
        <w:rPr>
          <w:rFonts w:ascii="Times New Roman" w:hAnsi="Times New Roman" w:cs="Times New Roman"/>
          <w:b/>
          <w:i w:val="0"/>
          <w:color w:val="auto"/>
        </w:rPr>
      </w:pPr>
      <w:r w:rsidRPr="003350F0">
        <w:rPr>
          <w:rFonts w:ascii="Times New Roman" w:hAnsi="Times New Roman" w:cs="Times New Roman"/>
          <w:b/>
          <w:i w:val="0"/>
          <w:color w:val="auto"/>
        </w:rPr>
        <w:t>Практика верификации в</w:t>
      </w:r>
      <w:r w:rsidR="00BD046D">
        <w:rPr>
          <w:rFonts w:ascii="Times New Roman" w:hAnsi="Times New Roman" w:cs="Times New Roman"/>
          <w:b/>
          <w:i w:val="0"/>
          <w:color w:val="auto"/>
        </w:rPr>
        <w:t xml:space="preserve"> странах</w:t>
      </w:r>
      <w:r w:rsidRPr="003350F0">
        <w:rPr>
          <w:rFonts w:ascii="Times New Roman" w:hAnsi="Times New Roman" w:cs="Times New Roman"/>
          <w:b/>
          <w:i w:val="0"/>
          <w:color w:val="auto"/>
        </w:rPr>
        <w:t xml:space="preserve"> ЕС</w:t>
      </w:r>
    </w:p>
    <w:p w14:paraId="1EC3F47B" w14:textId="59903F68" w:rsidR="008B549F" w:rsidRPr="00E0221D" w:rsidRDefault="008B549F" w:rsidP="00BF7363">
      <w:pPr>
        <w:pStyle w:val="a6"/>
        <w:numPr>
          <w:ilvl w:val="0"/>
          <w:numId w:val="10"/>
        </w:numPr>
        <w:spacing w:after="200" w:line="240" w:lineRule="auto"/>
        <w:jc w:val="both"/>
        <w:rPr>
          <w:rFonts w:ascii="Times New Roman" w:hAnsi="Times New Roman" w:cs="Times New Roman"/>
          <w:iCs/>
          <w:sz w:val="24"/>
          <w:szCs w:val="24"/>
        </w:rPr>
      </w:pPr>
      <w:r w:rsidRPr="00BF7363">
        <w:rPr>
          <w:rFonts w:ascii="Times New Roman" w:hAnsi="Times New Roman" w:cs="Times New Roman"/>
          <w:iCs/>
          <w:sz w:val="24"/>
          <w:szCs w:val="24"/>
        </w:rPr>
        <w:t>В целом, все государства-члены ЕС ввели минимальное требование к финансовому аудитору обязательство проверять</w:t>
      </w:r>
      <w:r w:rsidRPr="00E0221D">
        <w:rPr>
          <w:rFonts w:ascii="Times New Roman" w:hAnsi="Times New Roman" w:cs="Times New Roman"/>
          <w:iCs/>
          <w:sz w:val="24"/>
          <w:szCs w:val="24"/>
        </w:rPr>
        <w:t xml:space="preserve"> представлени</w:t>
      </w:r>
      <w:r w:rsidR="00BF7363" w:rsidRPr="00E0221D">
        <w:rPr>
          <w:rFonts w:ascii="Times New Roman" w:hAnsi="Times New Roman" w:cs="Times New Roman"/>
          <w:iCs/>
          <w:sz w:val="24"/>
          <w:szCs w:val="24"/>
        </w:rPr>
        <w:t>е</w:t>
      </w:r>
      <w:r w:rsidRPr="00BF7363">
        <w:rPr>
          <w:rFonts w:ascii="Times New Roman" w:hAnsi="Times New Roman" w:cs="Times New Roman"/>
          <w:iCs/>
          <w:sz w:val="24"/>
          <w:szCs w:val="24"/>
        </w:rPr>
        <w:t xml:space="preserve"> </w:t>
      </w:r>
      <w:r w:rsidR="008614C0">
        <w:rPr>
          <w:rFonts w:ascii="Times New Roman" w:hAnsi="Times New Roman" w:cs="Times New Roman"/>
          <w:iCs/>
          <w:sz w:val="24"/>
          <w:szCs w:val="24"/>
        </w:rPr>
        <w:t xml:space="preserve">компаниями </w:t>
      </w:r>
      <w:r w:rsidRPr="00BF7363">
        <w:rPr>
          <w:rFonts w:ascii="Times New Roman" w:hAnsi="Times New Roman" w:cs="Times New Roman"/>
          <w:iCs/>
          <w:sz w:val="24"/>
          <w:szCs w:val="24"/>
        </w:rPr>
        <w:t>нефинансов</w:t>
      </w:r>
      <w:r w:rsidR="00BF7363" w:rsidRPr="00BF7363">
        <w:rPr>
          <w:rFonts w:ascii="Times New Roman" w:hAnsi="Times New Roman" w:cs="Times New Roman"/>
          <w:iCs/>
          <w:sz w:val="24"/>
          <w:szCs w:val="24"/>
        </w:rPr>
        <w:t>ой</w:t>
      </w:r>
      <w:r w:rsidRPr="00BF7363">
        <w:rPr>
          <w:rFonts w:ascii="Times New Roman" w:hAnsi="Times New Roman" w:cs="Times New Roman"/>
          <w:iCs/>
          <w:sz w:val="24"/>
          <w:szCs w:val="24"/>
        </w:rPr>
        <w:t xml:space="preserve"> информаци</w:t>
      </w:r>
      <w:r w:rsidR="00BF7363" w:rsidRPr="00E0221D">
        <w:rPr>
          <w:rFonts w:ascii="Times New Roman" w:hAnsi="Times New Roman" w:cs="Times New Roman"/>
          <w:iCs/>
          <w:sz w:val="24"/>
          <w:szCs w:val="24"/>
        </w:rPr>
        <w:t>и</w:t>
      </w:r>
      <w:r w:rsidR="00E0221D">
        <w:rPr>
          <w:rFonts w:ascii="Times New Roman" w:hAnsi="Times New Roman" w:cs="Times New Roman"/>
          <w:iCs/>
          <w:sz w:val="24"/>
          <w:szCs w:val="24"/>
        </w:rPr>
        <w:t>.</w:t>
      </w:r>
      <w:r w:rsidRPr="00E0221D">
        <w:rPr>
          <w:rFonts w:ascii="Times New Roman" w:hAnsi="Times New Roman" w:cs="Times New Roman"/>
          <w:iCs/>
          <w:sz w:val="24"/>
          <w:szCs w:val="24"/>
        </w:rPr>
        <w:t xml:space="preserve"> </w:t>
      </w:r>
      <w:r w:rsidR="00E0221D">
        <w:rPr>
          <w:rFonts w:ascii="Times New Roman" w:hAnsi="Times New Roman" w:cs="Times New Roman"/>
          <w:iCs/>
          <w:sz w:val="24"/>
          <w:szCs w:val="24"/>
        </w:rPr>
        <w:t xml:space="preserve">Только минимальные требования действуют </w:t>
      </w:r>
      <w:r w:rsidRPr="00E0221D">
        <w:rPr>
          <w:rFonts w:ascii="Times New Roman" w:hAnsi="Times New Roman" w:cs="Times New Roman"/>
          <w:iCs/>
          <w:sz w:val="24"/>
          <w:szCs w:val="24"/>
        </w:rPr>
        <w:t>в 12 странах (отмечены желтым цветом)</w:t>
      </w:r>
      <w:r w:rsidR="00BF7363">
        <w:rPr>
          <w:rFonts w:ascii="Times New Roman" w:hAnsi="Times New Roman" w:cs="Times New Roman"/>
          <w:iCs/>
          <w:sz w:val="24"/>
          <w:szCs w:val="24"/>
        </w:rPr>
        <w:t>.</w:t>
      </w:r>
      <w:r w:rsidR="008614C0">
        <w:rPr>
          <w:rFonts w:ascii="Times New Roman" w:hAnsi="Times New Roman" w:cs="Times New Roman"/>
          <w:iCs/>
          <w:sz w:val="24"/>
          <w:szCs w:val="24"/>
        </w:rPr>
        <w:t xml:space="preserve"> </w:t>
      </w:r>
      <w:r w:rsidRPr="00BF7363">
        <w:rPr>
          <w:rFonts w:ascii="Times New Roman" w:hAnsi="Times New Roman" w:cs="Times New Roman"/>
          <w:iCs/>
          <w:sz w:val="24"/>
          <w:szCs w:val="24"/>
        </w:rPr>
        <w:t>В дополнение к минимальному требованию в 11 странах Европы существует дополнительное требование к финансовому аудитору проверять соответствие нефинансовой отчетности финансовой отчетности (выделено зеленым цветом)</w:t>
      </w:r>
      <w:r w:rsidR="00E0221D">
        <w:rPr>
          <w:rFonts w:ascii="Times New Roman" w:hAnsi="Times New Roman" w:cs="Times New Roman"/>
          <w:iCs/>
          <w:sz w:val="24"/>
          <w:szCs w:val="24"/>
        </w:rPr>
        <w:t>.</w:t>
      </w:r>
    </w:p>
    <w:p w14:paraId="5E86CDCD" w14:textId="3946E67F" w:rsidR="008B549F" w:rsidRPr="00737C20" w:rsidRDefault="008B549F" w:rsidP="003350F0">
      <w:pPr>
        <w:pStyle w:val="a6"/>
        <w:numPr>
          <w:ilvl w:val="0"/>
          <w:numId w:val="10"/>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 xml:space="preserve">В 3 государствах-членах ЕС </w:t>
      </w:r>
      <w:r w:rsidR="00951BE2">
        <w:rPr>
          <w:rFonts w:ascii="Times New Roman" w:hAnsi="Times New Roman" w:cs="Times New Roman"/>
          <w:iCs/>
          <w:sz w:val="24"/>
          <w:szCs w:val="24"/>
        </w:rPr>
        <w:t xml:space="preserve">(Франция, Италия, Испания) </w:t>
      </w:r>
      <w:r w:rsidRPr="00737C20">
        <w:rPr>
          <w:rFonts w:ascii="Times New Roman" w:hAnsi="Times New Roman" w:cs="Times New Roman"/>
          <w:iCs/>
          <w:sz w:val="24"/>
          <w:szCs w:val="24"/>
        </w:rPr>
        <w:t>законодательно требуется независимое заверение нефинансовой информации (отмечены синим цветом).</w:t>
      </w:r>
    </w:p>
    <w:p w14:paraId="7492175F" w14:textId="17841A7C" w:rsidR="008B549F" w:rsidRPr="00737C20" w:rsidRDefault="00BD046D" w:rsidP="008B549F">
      <w:pPr>
        <w:jc w:val="both"/>
        <w:rPr>
          <w:rFonts w:ascii="Times New Roman" w:hAnsi="Times New Roman" w:cs="Times New Roman"/>
          <w:iCs/>
          <w:sz w:val="24"/>
          <w:szCs w:val="24"/>
        </w:rPr>
      </w:pPr>
      <w:r>
        <w:rPr>
          <w:rFonts w:ascii="Times New Roman" w:hAnsi="Times New Roman" w:cs="Times New Roman"/>
          <w:i/>
          <w:noProof/>
          <w:sz w:val="24"/>
          <w:szCs w:val="24"/>
          <w:lang w:eastAsia="ru-RU"/>
        </w:rPr>
        <w:drawing>
          <wp:inline distT="0" distB="0" distL="0" distR="0" wp14:anchorId="495DC551" wp14:editId="3A39A223">
            <wp:extent cx="5628782" cy="3481969"/>
            <wp:effectExtent l="0" t="0" r="0" b="4445"/>
            <wp:docPr id="2" name="Рисунок 2"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карта&#10;&#10;Автоматически созданное описани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0188" cy="3489025"/>
                    </a:xfrm>
                    <a:prstGeom prst="rect">
                      <a:avLst/>
                    </a:prstGeom>
                    <a:noFill/>
                  </pic:spPr>
                </pic:pic>
              </a:graphicData>
            </a:graphic>
          </wp:inline>
        </w:drawing>
      </w:r>
    </w:p>
    <w:p w14:paraId="6FC85A2E" w14:textId="77777777" w:rsidR="00BD046D" w:rsidRDefault="00BD046D" w:rsidP="00BD046D">
      <w:pPr>
        <w:spacing w:after="80" w:line="240" w:lineRule="auto"/>
        <w:jc w:val="center"/>
        <w:rPr>
          <w:rFonts w:ascii="Times New Roman" w:hAnsi="Times New Roman" w:cs="Times New Roman"/>
          <w:i/>
          <w:sz w:val="24"/>
          <w:szCs w:val="24"/>
          <w:lang w:val="en-US"/>
        </w:rPr>
      </w:pPr>
      <w:r w:rsidRPr="00737C20">
        <w:rPr>
          <w:rFonts w:ascii="Times New Roman" w:hAnsi="Times New Roman" w:cs="Times New Roman"/>
          <w:i/>
          <w:sz w:val="24"/>
          <w:szCs w:val="24"/>
        </w:rPr>
        <w:t>Источник</w:t>
      </w:r>
      <w:r w:rsidRPr="00737C20">
        <w:rPr>
          <w:rFonts w:ascii="Times New Roman" w:hAnsi="Times New Roman" w:cs="Times New Roman"/>
          <w:i/>
          <w:sz w:val="24"/>
          <w:szCs w:val="24"/>
          <w:lang w:val="en-US"/>
        </w:rPr>
        <w:t xml:space="preserve">: </w:t>
      </w:r>
      <w:r>
        <w:rPr>
          <w:rFonts w:ascii="Times New Roman" w:hAnsi="Times New Roman" w:cs="Times New Roman"/>
          <w:i/>
          <w:sz w:val="24"/>
          <w:szCs w:val="24"/>
        </w:rPr>
        <w:t>разработано</w:t>
      </w:r>
      <w:r w:rsidRPr="00DF266F">
        <w:rPr>
          <w:rFonts w:ascii="Times New Roman" w:hAnsi="Times New Roman" w:cs="Times New Roman"/>
          <w:i/>
          <w:sz w:val="24"/>
          <w:szCs w:val="24"/>
          <w:lang w:val="en-US"/>
        </w:rPr>
        <w:t xml:space="preserve"> </w:t>
      </w:r>
      <w:r>
        <w:rPr>
          <w:rFonts w:ascii="Times New Roman" w:hAnsi="Times New Roman" w:cs="Times New Roman"/>
          <w:i/>
          <w:sz w:val="24"/>
          <w:szCs w:val="24"/>
        </w:rPr>
        <w:t>на</w:t>
      </w:r>
      <w:r w:rsidRPr="00DF266F">
        <w:rPr>
          <w:rFonts w:ascii="Times New Roman" w:hAnsi="Times New Roman" w:cs="Times New Roman"/>
          <w:i/>
          <w:sz w:val="24"/>
          <w:szCs w:val="24"/>
          <w:lang w:val="en-US"/>
        </w:rPr>
        <w:t xml:space="preserve"> </w:t>
      </w:r>
      <w:r>
        <w:rPr>
          <w:rFonts w:ascii="Times New Roman" w:hAnsi="Times New Roman" w:cs="Times New Roman"/>
          <w:i/>
          <w:sz w:val="24"/>
          <w:szCs w:val="24"/>
        </w:rPr>
        <w:t>основе</w:t>
      </w:r>
      <w:r w:rsidRPr="00DF266F">
        <w:rPr>
          <w:rFonts w:ascii="Times New Roman" w:hAnsi="Times New Roman" w:cs="Times New Roman"/>
          <w:i/>
          <w:sz w:val="24"/>
          <w:szCs w:val="24"/>
          <w:lang w:val="en-US"/>
        </w:rPr>
        <w:t xml:space="preserve"> </w:t>
      </w:r>
      <w:r w:rsidRPr="00737C20">
        <w:rPr>
          <w:rFonts w:ascii="Times New Roman" w:hAnsi="Times New Roman" w:cs="Times New Roman"/>
          <w:i/>
          <w:sz w:val="24"/>
          <w:szCs w:val="24"/>
          <w:lang w:val="en-US"/>
        </w:rPr>
        <w:t xml:space="preserve">Towards Reliable Non-financial Information </w:t>
      </w:r>
    </w:p>
    <w:p w14:paraId="74387A10" w14:textId="77777777" w:rsidR="00BD046D" w:rsidRPr="00DE7F38" w:rsidRDefault="00BD046D" w:rsidP="00BD046D">
      <w:pPr>
        <w:spacing w:after="80" w:line="240" w:lineRule="auto"/>
        <w:jc w:val="center"/>
        <w:rPr>
          <w:rFonts w:ascii="Times New Roman" w:hAnsi="Times New Roman" w:cs="Times New Roman"/>
          <w:i/>
          <w:sz w:val="24"/>
          <w:szCs w:val="24"/>
        </w:rPr>
      </w:pPr>
      <w:r w:rsidRPr="00737C20">
        <w:rPr>
          <w:rFonts w:ascii="Times New Roman" w:hAnsi="Times New Roman" w:cs="Times New Roman"/>
          <w:i/>
          <w:sz w:val="24"/>
          <w:szCs w:val="24"/>
          <w:lang w:val="en-US"/>
        </w:rPr>
        <w:t>Across</w:t>
      </w:r>
      <w:r w:rsidRPr="00DE7F38">
        <w:rPr>
          <w:rFonts w:ascii="Times New Roman" w:hAnsi="Times New Roman" w:cs="Times New Roman"/>
          <w:i/>
          <w:sz w:val="24"/>
          <w:szCs w:val="24"/>
        </w:rPr>
        <w:t xml:space="preserve"> </w:t>
      </w:r>
      <w:r w:rsidRPr="00737C20">
        <w:rPr>
          <w:rFonts w:ascii="Times New Roman" w:hAnsi="Times New Roman" w:cs="Times New Roman"/>
          <w:i/>
          <w:sz w:val="24"/>
          <w:szCs w:val="24"/>
          <w:lang w:val="en-US"/>
        </w:rPr>
        <w:t>Europe</w:t>
      </w:r>
      <w:r>
        <w:rPr>
          <w:rStyle w:val="af2"/>
          <w:rFonts w:ascii="Times New Roman" w:hAnsi="Times New Roman" w:cs="Times New Roman"/>
          <w:i/>
          <w:sz w:val="24"/>
          <w:szCs w:val="24"/>
          <w:lang w:val="en-US"/>
        </w:rPr>
        <w:footnoteReference w:id="3"/>
      </w:r>
    </w:p>
    <w:p w14:paraId="35AFB29F" w14:textId="77777777" w:rsidR="00BD046D" w:rsidRPr="00C40A96" w:rsidRDefault="00BD046D" w:rsidP="00BD046D">
      <w:pPr>
        <w:spacing w:after="80" w:line="240" w:lineRule="auto"/>
        <w:jc w:val="both"/>
        <w:rPr>
          <w:rFonts w:ascii="Times New Roman" w:hAnsi="Times New Roman" w:cs="Times New Roman"/>
          <w:sz w:val="24"/>
          <w:szCs w:val="24"/>
        </w:rPr>
      </w:pPr>
      <w:r>
        <w:rPr>
          <w:rFonts w:ascii="Times New Roman" w:hAnsi="Times New Roman" w:cs="Times New Roman"/>
          <w:sz w:val="24"/>
          <w:szCs w:val="24"/>
        </w:rPr>
        <w:t xml:space="preserve">Рисунок 1 – Требования по предоставлению и заверению нефинансовой информации в ЕС </w:t>
      </w:r>
    </w:p>
    <w:p w14:paraId="30644C83" w14:textId="77777777" w:rsidR="00BD046D" w:rsidRDefault="00BD046D" w:rsidP="00BD046D">
      <w:pPr>
        <w:spacing w:after="80" w:line="240" w:lineRule="auto"/>
        <w:jc w:val="both"/>
        <w:rPr>
          <w:rFonts w:ascii="Times New Roman" w:hAnsi="Times New Roman" w:cs="Times New Roman"/>
          <w:i/>
          <w:sz w:val="24"/>
          <w:szCs w:val="24"/>
        </w:rPr>
      </w:pPr>
    </w:p>
    <w:p w14:paraId="09D21729" w14:textId="21793502" w:rsidR="008B549F" w:rsidRPr="00BD046D" w:rsidRDefault="00BD046D" w:rsidP="00BD046D">
      <w:pPr>
        <w:spacing w:before="40" w:after="80" w:line="240" w:lineRule="auto"/>
        <w:jc w:val="both"/>
        <w:rPr>
          <w:rFonts w:ascii="Times New Roman" w:hAnsi="Times New Roman" w:cs="Times New Roman"/>
          <w:iCs/>
          <w:sz w:val="24"/>
          <w:szCs w:val="24"/>
        </w:rPr>
      </w:pPr>
      <w:r w:rsidRPr="00B76F94">
        <w:rPr>
          <w:rFonts w:ascii="Times New Roman" w:hAnsi="Times New Roman" w:cs="Times New Roman"/>
          <w:bCs/>
          <w:iCs/>
          <w:sz w:val="24"/>
          <w:szCs w:val="24"/>
        </w:rPr>
        <w:t>Таблица</w:t>
      </w:r>
      <w:r>
        <w:rPr>
          <w:rFonts w:ascii="Times New Roman" w:hAnsi="Times New Roman" w:cs="Times New Roman"/>
          <w:bCs/>
          <w:iCs/>
          <w:sz w:val="24"/>
          <w:szCs w:val="24"/>
        </w:rPr>
        <w:t xml:space="preserve"> 2</w:t>
      </w:r>
      <w:r w:rsidRPr="00B76F94">
        <w:rPr>
          <w:rFonts w:ascii="Times New Roman" w:hAnsi="Times New Roman" w:cs="Times New Roman"/>
          <w:bCs/>
          <w:iCs/>
          <w:sz w:val="24"/>
          <w:szCs w:val="24"/>
        </w:rPr>
        <w:t xml:space="preserve"> - </w:t>
      </w:r>
      <w:r>
        <w:rPr>
          <w:rFonts w:ascii="Times New Roman" w:hAnsi="Times New Roman" w:cs="Times New Roman"/>
          <w:iCs/>
          <w:sz w:val="24"/>
          <w:szCs w:val="24"/>
        </w:rPr>
        <w:t>Требования к нефинансовой отчетности</w:t>
      </w:r>
      <w:r w:rsidRPr="00B76F94">
        <w:rPr>
          <w:rFonts w:ascii="Times New Roman" w:hAnsi="Times New Roman" w:cs="Times New Roman"/>
          <w:bCs/>
          <w:iCs/>
          <w:sz w:val="24"/>
          <w:szCs w:val="24"/>
        </w:rPr>
        <w:t xml:space="preserve"> </w:t>
      </w:r>
      <w:r>
        <w:rPr>
          <w:rFonts w:ascii="Times New Roman" w:hAnsi="Times New Roman" w:cs="Times New Roman"/>
          <w:bCs/>
          <w:iCs/>
          <w:sz w:val="24"/>
          <w:szCs w:val="24"/>
        </w:rPr>
        <w:t>в отдельных странах ЕС и Великобритании</w:t>
      </w:r>
    </w:p>
    <w:tbl>
      <w:tblPr>
        <w:tblStyle w:val="a7"/>
        <w:tblW w:w="0" w:type="auto"/>
        <w:tblLook w:val="04A0" w:firstRow="1" w:lastRow="0" w:firstColumn="1" w:lastColumn="0" w:noHBand="0" w:noVBand="1"/>
      </w:tblPr>
      <w:tblGrid>
        <w:gridCol w:w="1299"/>
        <w:gridCol w:w="8046"/>
      </w:tblGrid>
      <w:tr w:rsidR="00BD046D" w:rsidRPr="00737C20" w14:paraId="5FFDBD4F" w14:textId="77777777" w:rsidTr="00645C75">
        <w:tc>
          <w:tcPr>
            <w:tcW w:w="1299" w:type="dxa"/>
          </w:tcPr>
          <w:p w14:paraId="66D43146" w14:textId="07A08A2D" w:rsidR="00BD046D" w:rsidRPr="00737C20" w:rsidRDefault="00BD046D" w:rsidP="00BD046D">
            <w:pPr>
              <w:jc w:val="both"/>
              <w:rPr>
                <w:rFonts w:ascii="Times New Roman" w:hAnsi="Times New Roman" w:cs="Times New Roman"/>
                <w:iCs/>
                <w:sz w:val="24"/>
                <w:szCs w:val="24"/>
              </w:rPr>
            </w:pPr>
            <w:r>
              <w:rPr>
                <w:rFonts w:ascii="Times New Roman" w:hAnsi="Times New Roman" w:cs="Times New Roman"/>
                <w:iCs/>
                <w:sz w:val="24"/>
                <w:szCs w:val="24"/>
              </w:rPr>
              <w:t>Страна</w:t>
            </w:r>
          </w:p>
        </w:tc>
        <w:tc>
          <w:tcPr>
            <w:tcW w:w="8165" w:type="dxa"/>
          </w:tcPr>
          <w:p w14:paraId="75733679" w14:textId="34E190AD" w:rsidR="00BD046D" w:rsidRPr="00737C20" w:rsidRDefault="00BD046D" w:rsidP="00BD046D">
            <w:pPr>
              <w:jc w:val="both"/>
              <w:rPr>
                <w:rFonts w:ascii="Times New Roman" w:hAnsi="Times New Roman" w:cs="Times New Roman"/>
                <w:iCs/>
                <w:sz w:val="24"/>
                <w:szCs w:val="24"/>
              </w:rPr>
            </w:pPr>
            <w:r>
              <w:rPr>
                <w:rFonts w:ascii="Times New Roman" w:hAnsi="Times New Roman" w:cs="Times New Roman"/>
                <w:iCs/>
                <w:sz w:val="24"/>
                <w:szCs w:val="24"/>
              </w:rPr>
              <w:t>Требования к нефинансовой отчетности</w:t>
            </w:r>
          </w:p>
        </w:tc>
      </w:tr>
      <w:tr w:rsidR="00BD046D" w:rsidRPr="00737C20" w14:paraId="45D3005C" w14:textId="77777777" w:rsidTr="00645C75">
        <w:tc>
          <w:tcPr>
            <w:tcW w:w="1299" w:type="dxa"/>
          </w:tcPr>
          <w:p w14:paraId="5BCF44AD" w14:textId="77777777" w:rsidR="00BD046D" w:rsidRPr="00737C20" w:rsidRDefault="00BD046D" w:rsidP="00BD046D">
            <w:pPr>
              <w:jc w:val="both"/>
              <w:rPr>
                <w:rFonts w:ascii="Times New Roman" w:hAnsi="Times New Roman" w:cs="Times New Roman"/>
                <w:iCs/>
                <w:sz w:val="24"/>
                <w:szCs w:val="24"/>
                <w:lang w:val="en-US"/>
              </w:rPr>
            </w:pPr>
            <w:r w:rsidRPr="00737C20">
              <w:rPr>
                <w:rFonts w:ascii="Times New Roman" w:hAnsi="Times New Roman" w:cs="Times New Roman"/>
                <w:iCs/>
                <w:sz w:val="24"/>
                <w:szCs w:val="24"/>
              </w:rPr>
              <w:t>Франция</w:t>
            </w:r>
          </w:p>
        </w:tc>
        <w:tc>
          <w:tcPr>
            <w:tcW w:w="8165" w:type="dxa"/>
          </w:tcPr>
          <w:p w14:paraId="398A974F"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Нефинансовая информация должна быть раскрыта в отчете руководства (</w:t>
            </w:r>
            <w:r w:rsidRPr="00737C20">
              <w:rPr>
                <w:rFonts w:ascii="Times New Roman" w:hAnsi="Times New Roman" w:cs="Times New Roman"/>
                <w:iCs/>
                <w:sz w:val="24"/>
                <w:szCs w:val="24"/>
                <w:lang w:val="en-US"/>
              </w:rPr>
              <w:t>management</w:t>
            </w:r>
            <w:r w:rsidRPr="00737C20">
              <w:rPr>
                <w:rFonts w:ascii="Times New Roman" w:hAnsi="Times New Roman" w:cs="Times New Roman"/>
                <w:iCs/>
                <w:sz w:val="24"/>
                <w:szCs w:val="24"/>
              </w:rPr>
              <w:t xml:space="preserve"> </w:t>
            </w:r>
            <w:r w:rsidRPr="00737C20">
              <w:rPr>
                <w:rFonts w:ascii="Times New Roman" w:hAnsi="Times New Roman" w:cs="Times New Roman"/>
                <w:iCs/>
                <w:sz w:val="24"/>
                <w:szCs w:val="24"/>
                <w:lang w:val="en-US"/>
              </w:rPr>
              <w:t>report</w:t>
            </w:r>
            <w:r w:rsidRPr="00737C20">
              <w:rPr>
                <w:rFonts w:ascii="Times New Roman" w:hAnsi="Times New Roman" w:cs="Times New Roman"/>
                <w:iCs/>
                <w:sz w:val="24"/>
                <w:szCs w:val="24"/>
              </w:rPr>
              <w:t>).</w:t>
            </w:r>
          </w:p>
          <w:p w14:paraId="14DB9236"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Обязательный (государственный) аудитор проверяет, была ли предоставлена нефинансовая отчетность (проверка наличия)</w:t>
            </w:r>
            <w:r>
              <w:rPr>
                <w:rFonts w:ascii="Times New Roman" w:hAnsi="Times New Roman" w:cs="Times New Roman"/>
                <w:iCs/>
                <w:sz w:val="24"/>
                <w:szCs w:val="24"/>
              </w:rPr>
              <w:t>.</w:t>
            </w:r>
          </w:p>
          <w:p w14:paraId="4684D34B"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Уполномоченный аудитор или независимый поставщик услуг предоставляет ограниченные гарантии (</w:t>
            </w:r>
            <w:r w:rsidRPr="00737C20">
              <w:rPr>
                <w:rFonts w:ascii="Times New Roman" w:hAnsi="Times New Roman" w:cs="Times New Roman"/>
                <w:iCs/>
                <w:sz w:val="24"/>
                <w:szCs w:val="24"/>
                <w:lang w:val="en-US"/>
              </w:rPr>
              <w:t>limited</w:t>
            </w:r>
            <w:r w:rsidRPr="00737C20">
              <w:rPr>
                <w:rFonts w:ascii="Times New Roman" w:hAnsi="Times New Roman" w:cs="Times New Roman"/>
                <w:iCs/>
                <w:sz w:val="24"/>
                <w:szCs w:val="24"/>
              </w:rPr>
              <w:t xml:space="preserve"> </w:t>
            </w:r>
            <w:r w:rsidRPr="00737C20">
              <w:rPr>
                <w:rFonts w:ascii="Times New Roman" w:hAnsi="Times New Roman" w:cs="Times New Roman"/>
                <w:iCs/>
                <w:sz w:val="24"/>
                <w:szCs w:val="24"/>
                <w:lang w:val="en-US"/>
              </w:rPr>
              <w:t>assurance</w:t>
            </w:r>
            <w:r w:rsidRPr="00737C20">
              <w:rPr>
                <w:rFonts w:ascii="Times New Roman" w:hAnsi="Times New Roman" w:cs="Times New Roman"/>
                <w:iCs/>
                <w:sz w:val="24"/>
                <w:szCs w:val="24"/>
              </w:rPr>
              <w:t xml:space="preserve">) соответствия раскрытия нефинансовой информации французскому законодательству. В частности, ответственность аудитора заключается в предоставлении ограниченной уверенности в: </w:t>
            </w:r>
          </w:p>
          <w:p w14:paraId="70AACE7E" w14:textId="77777777" w:rsidR="00BD046D" w:rsidRPr="00737C20" w:rsidRDefault="00BD046D" w:rsidP="00BD046D">
            <w:pPr>
              <w:pStyle w:val="a6"/>
              <w:numPr>
                <w:ilvl w:val="0"/>
                <w:numId w:val="7"/>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соответствии Заявления статье R. 225-105 Торгового кодекса Франции</w:t>
            </w:r>
            <w:r>
              <w:rPr>
                <w:rFonts w:ascii="Times New Roman" w:hAnsi="Times New Roman" w:cs="Times New Roman"/>
                <w:iCs/>
                <w:sz w:val="24"/>
                <w:szCs w:val="24"/>
              </w:rPr>
              <w:t>;</w:t>
            </w:r>
          </w:p>
          <w:p w14:paraId="63C0A757" w14:textId="77777777" w:rsidR="00BD046D" w:rsidRPr="00737C20" w:rsidRDefault="00BD046D" w:rsidP="00BD046D">
            <w:pPr>
              <w:pStyle w:val="a6"/>
              <w:numPr>
                <w:ilvl w:val="0"/>
                <w:numId w:val="7"/>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достоверности информации, предоставленной в соответствии с частью 3 разделов I и II статьи R. 225 105 Коммерческого кодекса Франции, т.е. результаты политики, включая ключевые показатели эффективности (KPI), и меры, относящиеся к основным рискам</w:t>
            </w:r>
            <w:r>
              <w:rPr>
                <w:rFonts w:ascii="Times New Roman" w:hAnsi="Times New Roman" w:cs="Times New Roman"/>
                <w:iCs/>
                <w:sz w:val="24"/>
                <w:szCs w:val="24"/>
              </w:rPr>
              <w:t>.</w:t>
            </w:r>
          </w:p>
          <w:p w14:paraId="70E0A046"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Аудитору необходимо предоставить более подробную информацию, особенно о рисках и по некоторым тематическим вопросам, о надежности раскрытых результатов и ключевых показателей эффективности, но, например, не об актуальности бизнес-модели, связанных с ней рисков и политик.</w:t>
            </w:r>
          </w:p>
          <w:p w14:paraId="74719E4E"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Существует юридическое требование о предоставлении гарантий в отношении заверения нефинансовой информации. Независимый поставщик услуг должен быть аккредитован французским комитетом по аккредитации COFRAC и иметь специальную систему менеджмента качества, соответствующую стандартам ISO17020. Французское законодательство описывает работу, которая должна быть выполнена. Обязательный аудитор или независимый поставщик гарантий обязан соблюдать эти положения. ISAE 3000 является наиболее часто используемым стандартом, поскольку независимые гарантии</w:t>
            </w:r>
            <w:r>
              <w:rPr>
                <w:rFonts w:ascii="Times New Roman" w:hAnsi="Times New Roman" w:cs="Times New Roman"/>
                <w:iCs/>
                <w:sz w:val="24"/>
                <w:szCs w:val="24"/>
              </w:rPr>
              <w:t>,</w:t>
            </w:r>
            <w:r w:rsidRPr="00737C20">
              <w:rPr>
                <w:rFonts w:ascii="Times New Roman" w:hAnsi="Times New Roman" w:cs="Times New Roman"/>
                <w:iCs/>
                <w:sz w:val="24"/>
                <w:szCs w:val="24"/>
              </w:rPr>
              <w:t xml:space="preserve"> в основном</w:t>
            </w:r>
            <w:r>
              <w:rPr>
                <w:rFonts w:ascii="Times New Roman" w:hAnsi="Times New Roman" w:cs="Times New Roman"/>
                <w:iCs/>
                <w:sz w:val="24"/>
                <w:szCs w:val="24"/>
              </w:rPr>
              <w:t>,</w:t>
            </w:r>
            <w:r w:rsidRPr="00737C20">
              <w:rPr>
                <w:rFonts w:ascii="Times New Roman" w:hAnsi="Times New Roman" w:cs="Times New Roman"/>
                <w:iCs/>
                <w:sz w:val="24"/>
                <w:szCs w:val="24"/>
              </w:rPr>
              <w:t xml:space="preserve"> предоставляются представителями профессии бухгалтера. Тем не менее, нет никаких юридических требований для использования ISAE 3000.</w:t>
            </w:r>
          </w:p>
        </w:tc>
      </w:tr>
      <w:tr w:rsidR="00BD046D" w:rsidRPr="00737C20" w14:paraId="720E65E3" w14:textId="77777777" w:rsidTr="00645C75">
        <w:tc>
          <w:tcPr>
            <w:tcW w:w="1299" w:type="dxa"/>
          </w:tcPr>
          <w:p w14:paraId="4AC1A429"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Италия</w:t>
            </w:r>
          </w:p>
        </w:tc>
        <w:tc>
          <w:tcPr>
            <w:tcW w:w="8165" w:type="dxa"/>
          </w:tcPr>
          <w:p w14:paraId="01C39177" w14:textId="7005670F"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Нефинансовая информация может быть раскрыта либо в отчете руководства (в этом случае он должен быть в отдельном разделе отчета), либо в отдельном отчете. В любом случае, он должен быть одобрен </w:t>
            </w:r>
            <w:r>
              <w:rPr>
                <w:rFonts w:ascii="Times New Roman" w:hAnsi="Times New Roman" w:cs="Times New Roman"/>
                <w:iCs/>
                <w:sz w:val="24"/>
                <w:szCs w:val="24"/>
              </w:rPr>
              <w:t>с</w:t>
            </w:r>
            <w:r w:rsidRPr="00737C20">
              <w:rPr>
                <w:rFonts w:ascii="Times New Roman" w:hAnsi="Times New Roman" w:cs="Times New Roman"/>
                <w:iCs/>
                <w:sz w:val="24"/>
                <w:szCs w:val="24"/>
              </w:rPr>
              <w:t>оветом директоров. Стандартом отчетности, наиболее часто используемым для подготовки нефинансовой информации, является GRI. Однако закон допускает использование любого стандарта отчетности.</w:t>
            </w:r>
          </w:p>
          <w:p w14:paraId="46B02A2B"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Государственный аудитор проверяет, была ли предоставлена нефинансовая отчетность (проверка наличия).</w:t>
            </w:r>
          </w:p>
          <w:p w14:paraId="6F4E8657" w14:textId="1A4F8AE2"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Независимое заверение должно проводиться сертифицированным аудитором. Государственный аудитор также может осуществлять независимую проверку </w:t>
            </w:r>
            <w:r>
              <w:rPr>
                <w:rFonts w:ascii="Times New Roman" w:hAnsi="Times New Roman" w:cs="Times New Roman"/>
                <w:iCs/>
                <w:sz w:val="24"/>
                <w:szCs w:val="24"/>
              </w:rPr>
              <w:t>нефинансовой информации</w:t>
            </w:r>
            <w:r w:rsidRPr="00737C20">
              <w:rPr>
                <w:rFonts w:ascii="Times New Roman" w:hAnsi="Times New Roman" w:cs="Times New Roman"/>
                <w:iCs/>
                <w:sz w:val="24"/>
                <w:szCs w:val="24"/>
              </w:rPr>
              <w:t xml:space="preserve">, но нет юридического требования о том, что только он может предоставлять независимую проверку. </w:t>
            </w:r>
          </w:p>
          <w:p w14:paraId="3284BCD4"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Аудитор должен проверить соответствие:</w:t>
            </w:r>
          </w:p>
          <w:p w14:paraId="294CE95C" w14:textId="77777777" w:rsidR="00BD046D" w:rsidRPr="00737C20" w:rsidRDefault="00BD046D" w:rsidP="00BD046D">
            <w:pPr>
              <w:pStyle w:val="a6"/>
              <w:numPr>
                <w:ilvl w:val="0"/>
                <w:numId w:val="8"/>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стандартам отчетности, которые использовались для подготовки нефинансовой информации</w:t>
            </w:r>
            <w:r>
              <w:rPr>
                <w:rFonts w:ascii="Times New Roman" w:hAnsi="Times New Roman" w:cs="Times New Roman"/>
                <w:iCs/>
                <w:sz w:val="24"/>
                <w:szCs w:val="24"/>
              </w:rPr>
              <w:t>;</w:t>
            </w:r>
          </w:p>
          <w:p w14:paraId="06A127D2" w14:textId="70F2CC5A" w:rsidR="00BD046D" w:rsidRPr="00737C20" w:rsidRDefault="00BD046D" w:rsidP="00BD046D">
            <w:pPr>
              <w:pStyle w:val="a6"/>
              <w:numPr>
                <w:ilvl w:val="0"/>
                <w:numId w:val="8"/>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 xml:space="preserve">требованиям </w:t>
            </w:r>
            <w:r w:rsidR="00D4443C">
              <w:rPr>
                <w:rFonts w:ascii="Times New Roman" w:hAnsi="Times New Roman" w:cs="Times New Roman"/>
                <w:iCs/>
                <w:sz w:val="24"/>
                <w:szCs w:val="24"/>
              </w:rPr>
              <w:t>законодательства</w:t>
            </w:r>
            <w:r w:rsidRPr="00737C20">
              <w:rPr>
                <w:rFonts w:ascii="Times New Roman" w:hAnsi="Times New Roman" w:cs="Times New Roman"/>
                <w:iCs/>
                <w:sz w:val="24"/>
                <w:szCs w:val="24"/>
              </w:rPr>
              <w:t xml:space="preserve"> посредством отдельного аудиторского заключения</w:t>
            </w:r>
            <w:r>
              <w:rPr>
                <w:rFonts w:ascii="Times New Roman" w:hAnsi="Times New Roman" w:cs="Times New Roman"/>
                <w:iCs/>
                <w:sz w:val="24"/>
                <w:szCs w:val="24"/>
              </w:rPr>
              <w:t>.</w:t>
            </w:r>
          </w:p>
          <w:p w14:paraId="6F815C02" w14:textId="0A949CEF"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Итальянское законодательство не определяет уровень гарантии, который должен быть предоставлен, но в постановлении, изданном Итальянской комиссией по компаниям и биржам (CONSOB), указано, что уровень гарантии может быть либо </w:t>
            </w:r>
            <w:r>
              <w:rPr>
                <w:rFonts w:ascii="Times New Roman" w:hAnsi="Times New Roman" w:cs="Times New Roman"/>
                <w:iCs/>
                <w:sz w:val="24"/>
                <w:szCs w:val="24"/>
              </w:rPr>
              <w:t>ограниченным</w:t>
            </w:r>
            <w:r w:rsidRPr="00737C20">
              <w:rPr>
                <w:rFonts w:ascii="Times New Roman" w:hAnsi="Times New Roman" w:cs="Times New Roman"/>
                <w:iCs/>
                <w:sz w:val="24"/>
                <w:szCs w:val="24"/>
              </w:rPr>
              <w:t xml:space="preserve">, либо </w:t>
            </w:r>
            <w:r>
              <w:rPr>
                <w:rFonts w:ascii="Times New Roman" w:hAnsi="Times New Roman" w:cs="Times New Roman"/>
                <w:iCs/>
                <w:sz w:val="24"/>
                <w:szCs w:val="24"/>
              </w:rPr>
              <w:t>разумным</w:t>
            </w:r>
            <w:r w:rsidRPr="00737C20">
              <w:rPr>
                <w:rFonts w:ascii="Times New Roman" w:hAnsi="Times New Roman" w:cs="Times New Roman"/>
                <w:iCs/>
                <w:sz w:val="24"/>
                <w:szCs w:val="24"/>
              </w:rPr>
              <w:t xml:space="preserve">. Уровень гарантий, который чаще всего предоставляется, является ограниченным, но </w:t>
            </w:r>
            <w:r>
              <w:rPr>
                <w:rFonts w:ascii="Times New Roman" w:hAnsi="Times New Roman" w:cs="Times New Roman"/>
                <w:iCs/>
                <w:sz w:val="24"/>
                <w:szCs w:val="24"/>
              </w:rPr>
              <w:t>с</w:t>
            </w:r>
            <w:r w:rsidRPr="00737C20">
              <w:rPr>
                <w:rFonts w:ascii="Times New Roman" w:hAnsi="Times New Roman" w:cs="Times New Roman"/>
                <w:iCs/>
                <w:sz w:val="24"/>
                <w:szCs w:val="24"/>
              </w:rPr>
              <w:t>овет директоров может запросить разумные гарантии.</w:t>
            </w:r>
          </w:p>
          <w:p w14:paraId="50B3A5D2"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Нет никаких юридических требований использовать ISAE 3000 для обеспечения независимой уверенности в нефинансовой информации.</w:t>
            </w:r>
          </w:p>
          <w:p w14:paraId="16ED551D" w14:textId="02552D88"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Требования к нефинансовой отчетности определены постановлением, изданным CONSOB. В регламенте CONSOB указано, что аудиторский отчет должен включать:</w:t>
            </w:r>
          </w:p>
          <w:p w14:paraId="29E6FBA0"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ссылку на правовую базу, которая использовалась для подготовки отчета</w:t>
            </w:r>
            <w:r>
              <w:rPr>
                <w:rFonts w:ascii="Times New Roman" w:hAnsi="Times New Roman" w:cs="Times New Roman"/>
                <w:iCs/>
                <w:sz w:val="24"/>
                <w:szCs w:val="24"/>
              </w:rPr>
              <w:t>;</w:t>
            </w:r>
          </w:p>
          <w:p w14:paraId="1D4FE48C"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идентификацию нефинансовой информации</w:t>
            </w:r>
            <w:r>
              <w:rPr>
                <w:rFonts w:ascii="Times New Roman" w:hAnsi="Times New Roman" w:cs="Times New Roman"/>
                <w:iCs/>
                <w:sz w:val="24"/>
                <w:szCs w:val="24"/>
              </w:rPr>
              <w:t>;</w:t>
            </w:r>
          </w:p>
          <w:p w14:paraId="1CFF83E9" w14:textId="18C0706F"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 xml:space="preserve">принципы и руководящие указания, которым следовал </w:t>
            </w:r>
            <w:r>
              <w:rPr>
                <w:rFonts w:ascii="Times New Roman" w:hAnsi="Times New Roman" w:cs="Times New Roman"/>
                <w:iCs/>
                <w:sz w:val="24"/>
                <w:szCs w:val="24"/>
              </w:rPr>
              <w:t>с</w:t>
            </w:r>
            <w:r w:rsidRPr="00737C20">
              <w:rPr>
                <w:rFonts w:ascii="Times New Roman" w:hAnsi="Times New Roman" w:cs="Times New Roman"/>
                <w:iCs/>
                <w:sz w:val="24"/>
                <w:szCs w:val="24"/>
              </w:rPr>
              <w:t>овет директоров при подготовке нефинансовой информации</w:t>
            </w:r>
            <w:r>
              <w:rPr>
                <w:rFonts w:ascii="Times New Roman" w:hAnsi="Times New Roman" w:cs="Times New Roman"/>
                <w:iCs/>
                <w:sz w:val="24"/>
                <w:szCs w:val="24"/>
              </w:rPr>
              <w:t>;</w:t>
            </w:r>
          </w:p>
          <w:p w14:paraId="11744C34"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работа, проделанная аудитором</w:t>
            </w:r>
            <w:r>
              <w:rPr>
                <w:rFonts w:ascii="Times New Roman" w:hAnsi="Times New Roman" w:cs="Times New Roman"/>
                <w:iCs/>
                <w:sz w:val="24"/>
                <w:szCs w:val="24"/>
              </w:rPr>
              <w:t>;</w:t>
            </w:r>
          </w:p>
          <w:p w14:paraId="359C101A"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международный стандарт, которому следовали при выполнении задания</w:t>
            </w:r>
            <w:r>
              <w:rPr>
                <w:rFonts w:ascii="Times New Roman" w:hAnsi="Times New Roman" w:cs="Times New Roman"/>
                <w:iCs/>
                <w:sz w:val="24"/>
                <w:szCs w:val="24"/>
              </w:rPr>
              <w:t>;</w:t>
            </w:r>
          </w:p>
          <w:p w14:paraId="3F228B8A"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заявление о независимости аудитора</w:t>
            </w:r>
            <w:r>
              <w:rPr>
                <w:rFonts w:ascii="Times New Roman" w:hAnsi="Times New Roman" w:cs="Times New Roman"/>
                <w:iCs/>
                <w:sz w:val="24"/>
                <w:szCs w:val="24"/>
              </w:rPr>
              <w:t>;</w:t>
            </w:r>
          </w:p>
          <w:p w14:paraId="2B4FFBA9" w14:textId="77777777" w:rsidR="00BD046D" w:rsidRPr="00737C20" w:rsidRDefault="00BD046D" w:rsidP="00BD046D">
            <w:pPr>
              <w:pStyle w:val="a6"/>
              <w:numPr>
                <w:ilvl w:val="0"/>
                <w:numId w:val="9"/>
              </w:numPr>
              <w:spacing w:after="200" w:line="240" w:lineRule="auto"/>
              <w:jc w:val="both"/>
              <w:rPr>
                <w:rFonts w:ascii="Times New Roman" w:hAnsi="Times New Roman" w:cs="Times New Roman"/>
                <w:iCs/>
                <w:sz w:val="24"/>
                <w:szCs w:val="24"/>
              </w:rPr>
            </w:pPr>
            <w:r w:rsidRPr="00737C20">
              <w:rPr>
                <w:rFonts w:ascii="Times New Roman" w:hAnsi="Times New Roman" w:cs="Times New Roman"/>
                <w:iCs/>
                <w:sz w:val="24"/>
                <w:szCs w:val="24"/>
              </w:rPr>
              <w:t>заключение аудитора</w:t>
            </w:r>
            <w:r>
              <w:rPr>
                <w:rFonts w:ascii="Times New Roman" w:hAnsi="Times New Roman" w:cs="Times New Roman"/>
                <w:iCs/>
                <w:sz w:val="24"/>
                <w:szCs w:val="24"/>
              </w:rPr>
              <w:t>.</w:t>
            </w:r>
          </w:p>
          <w:p w14:paraId="367643A8"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Кроме того, на практике также включается заявление, разъясняющее соответствующую ответственность директоров и аудиторов в отношении нефинансовой информации, хотя это и не требуется.</w:t>
            </w:r>
          </w:p>
        </w:tc>
      </w:tr>
      <w:tr w:rsidR="00BD046D" w:rsidRPr="00737C20" w14:paraId="1E8A3E8E" w14:textId="77777777" w:rsidTr="00645C75">
        <w:tc>
          <w:tcPr>
            <w:tcW w:w="1299" w:type="dxa"/>
          </w:tcPr>
          <w:p w14:paraId="2D6797D9"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Испания</w:t>
            </w:r>
          </w:p>
        </w:tc>
        <w:tc>
          <w:tcPr>
            <w:tcW w:w="8165" w:type="dxa"/>
          </w:tcPr>
          <w:p w14:paraId="7A392656"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Нефинансовая информация может быть раскрыта либо в отчете руководства, либо в отдельном отчете. Совет директоров должен утвердить нефинансовую информацию вместе с годовой отчетностью (нефинансовый отчет должен быть представлен в качестве отдельного пункта повестки дня для его утверждения на собрании акционеров). Нефинансовый отчет должен быть представлен общественности и доступен на веб-сайте компании в течение шести месяцев после отчетной даты.</w:t>
            </w:r>
          </w:p>
          <w:p w14:paraId="7D80AE85" w14:textId="776D9A96"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Испанское законодательство предусматривает перечень показателей для целей отчетности, но компаниям необходимо подготовить свои нефинансовые раскрытия на основе анализа существенности; значимые показатели для отчетности должны основываться на соответствующих темах или областях риска. Нефинансовый отчет должен быть подготовлен с использованием международно</w:t>
            </w:r>
            <w:r w:rsidR="00D4443C">
              <w:rPr>
                <w:rFonts w:ascii="Times New Roman" w:hAnsi="Times New Roman" w:cs="Times New Roman"/>
                <w:iCs/>
                <w:sz w:val="24"/>
                <w:szCs w:val="24"/>
              </w:rPr>
              <w:t>-</w:t>
            </w:r>
            <w:r w:rsidRPr="00737C20">
              <w:rPr>
                <w:rFonts w:ascii="Times New Roman" w:hAnsi="Times New Roman" w:cs="Times New Roman"/>
                <w:iCs/>
                <w:sz w:val="24"/>
                <w:szCs w:val="24"/>
              </w:rPr>
              <w:t xml:space="preserve">признанных структур и стандартов, таких как GRI </w:t>
            </w:r>
            <w:r w:rsidR="00D4443C">
              <w:rPr>
                <w:rFonts w:ascii="Times New Roman" w:hAnsi="Times New Roman" w:cs="Times New Roman"/>
                <w:iCs/>
                <w:sz w:val="24"/>
                <w:szCs w:val="24"/>
              </w:rPr>
              <w:t xml:space="preserve">(наиболее часто используемый) </w:t>
            </w:r>
            <w:r w:rsidRPr="00737C20">
              <w:rPr>
                <w:rFonts w:ascii="Times New Roman" w:hAnsi="Times New Roman" w:cs="Times New Roman"/>
                <w:iCs/>
                <w:sz w:val="24"/>
                <w:szCs w:val="24"/>
              </w:rPr>
              <w:t xml:space="preserve">или IIRC, среди прочих. </w:t>
            </w:r>
          </w:p>
          <w:p w14:paraId="4CB41921"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Государственный аудитор проверяет, была ли предоставлена нефинансовая отчетность (проверка наличия).</w:t>
            </w:r>
          </w:p>
          <w:p w14:paraId="3434E7B9"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Если нефинансовая информация не готова вовремя, аудитор, уполномоченный законом, должен указать этот факт в квалифицированном заключении.</w:t>
            </w:r>
          </w:p>
          <w:p w14:paraId="6CAA6AC9" w14:textId="6102D49A"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Компании со средней численностью сотрудников в год более 500 человек должны представить свой нефинансовый отчет независимому внешнему аудитору.</w:t>
            </w:r>
          </w:p>
          <w:p w14:paraId="60CFA544"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Независимое заверение предоставляется независимым поставщиком аудиторских услуг. Обязательный (государственный) аудитор может также выступать в качестве независимого поставщика аудиторских услуг. С этой целью испанский аудиторский регулятор ICAC выпустил обязательное к исполнению заключение, в котором указывается, что в законе не указано никаких требований или положений о роли или требованиях, которым должен соответствовать независимый верификатор. Закон прямо не запрещает обязательному аудитору выполнять такого рода задания. </w:t>
            </w:r>
          </w:p>
          <w:p w14:paraId="19041279" w14:textId="3BE8B84D"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Закон не определяет уровень соответствия (</w:t>
            </w:r>
            <w:r>
              <w:rPr>
                <w:rFonts w:ascii="Times New Roman" w:hAnsi="Times New Roman" w:cs="Times New Roman"/>
                <w:iCs/>
                <w:sz w:val="24"/>
                <w:szCs w:val="24"/>
              </w:rPr>
              <w:t>ограниченная/разумная</w:t>
            </w:r>
            <w:r w:rsidRPr="00737C20">
              <w:rPr>
                <w:rFonts w:ascii="Times New Roman" w:hAnsi="Times New Roman" w:cs="Times New Roman"/>
                <w:iCs/>
                <w:sz w:val="24"/>
                <w:szCs w:val="24"/>
              </w:rPr>
              <w:t>), цели или применимые рамки, которые следует использовать при выполнении обязательства по заверению. В большинстве случаев уровень предоставляемых гарантий является ограниченным.</w:t>
            </w:r>
          </w:p>
          <w:p w14:paraId="4C456D98"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Законодательно не требуется использовать какой-либо конкретный стандарт для выполнения задания по обеспечению достоверности, но чаще всего используется ISAE 3000. </w:t>
            </w:r>
          </w:p>
        </w:tc>
      </w:tr>
      <w:tr w:rsidR="00BD046D" w:rsidRPr="00737C20" w14:paraId="51EB0717" w14:textId="77777777" w:rsidTr="00645C75">
        <w:tc>
          <w:tcPr>
            <w:tcW w:w="9464" w:type="dxa"/>
            <w:gridSpan w:val="2"/>
            <w:vAlign w:val="center"/>
          </w:tcPr>
          <w:p w14:paraId="388E9B5D" w14:textId="77777777" w:rsidR="00BD046D" w:rsidRPr="00737C20" w:rsidRDefault="00BD046D" w:rsidP="00BD046D">
            <w:pPr>
              <w:rPr>
                <w:rFonts w:ascii="Times New Roman" w:hAnsi="Times New Roman" w:cs="Times New Roman"/>
                <w:b/>
                <w:bCs/>
                <w:iCs/>
                <w:sz w:val="24"/>
                <w:szCs w:val="24"/>
              </w:rPr>
            </w:pPr>
            <w:r w:rsidRPr="00737C20">
              <w:rPr>
                <w:rFonts w:ascii="Times New Roman" w:hAnsi="Times New Roman" w:cs="Times New Roman"/>
                <w:b/>
                <w:bCs/>
                <w:iCs/>
                <w:sz w:val="24"/>
                <w:szCs w:val="24"/>
              </w:rPr>
              <w:t>Дополнительно</w:t>
            </w:r>
          </w:p>
        </w:tc>
      </w:tr>
      <w:tr w:rsidR="00BD046D" w:rsidRPr="00737C20" w14:paraId="6B9C3815" w14:textId="77777777" w:rsidTr="00645C75">
        <w:tc>
          <w:tcPr>
            <w:tcW w:w="9464" w:type="dxa"/>
            <w:gridSpan w:val="2"/>
          </w:tcPr>
          <w:p w14:paraId="407BE20F" w14:textId="77777777" w:rsidR="00BD046D" w:rsidRPr="00737C20" w:rsidRDefault="00BD046D" w:rsidP="00BD046D">
            <w:pPr>
              <w:jc w:val="both"/>
              <w:rPr>
                <w:rFonts w:ascii="Times New Roman" w:hAnsi="Times New Roman" w:cs="Times New Roman"/>
                <w:iCs/>
                <w:sz w:val="24"/>
                <w:szCs w:val="24"/>
                <w:lang w:val="en-US"/>
              </w:rPr>
            </w:pPr>
            <w:r w:rsidRPr="00737C20">
              <w:rPr>
                <w:rFonts w:ascii="Times New Roman" w:hAnsi="Times New Roman" w:cs="Times New Roman"/>
                <w:b/>
                <w:bCs/>
                <w:iCs/>
                <w:sz w:val="24"/>
                <w:szCs w:val="24"/>
              </w:rPr>
              <w:t>В Австрии, Бельгии, Дании, Финляндии, Голландии, Исландии, Латвии, Норвегии, Словении, Швеции</w:t>
            </w:r>
            <w:r w:rsidRPr="00737C20">
              <w:rPr>
                <w:rFonts w:ascii="Times New Roman" w:hAnsi="Times New Roman" w:cs="Times New Roman"/>
                <w:iCs/>
                <w:sz w:val="24"/>
                <w:szCs w:val="24"/>
              </w:rPr>
              <w:t xml:space="preserve"> аудит нефинансовой отчетности проводится на добровольной основе, чаще всего крупными компаниями, и уровень предоставляемых гарантий является ограниченным (</w:t>
            </w:r>
            <w:r w:rsidRPr="00737C20">
              <w:rPr>
                <w:rFonts w:ascii="Times New Roman" w:hAnsi="Times New Roman" w:cs="Times New Roman"/>
                <w:iCs/>
                <w:sz w:val="24"/>
                <w:szCs w:val="24"/>
                <w:lang w:val="en-US"/>
              </w:rPr>
              <w:t>limited</w:t>
            </w:r>
            <w:r w:rsidRPr="00737C20">
              <w:rPr>
                <w:rFonts w:ascii="Times New Roman" w:hAnsi="Times New Roman" w:cs="Times New Roman"/>
                <w:iCs/>
                <w:sz w:val="24"/>
                <w:szCs w:val="24"/>
              </w:rPr>
              <w:t xml:space="preserve">). Аудиторами проверяется соответствие стандартам </w:t>
            </w:r>
            <w:r w:rsidRPr="00737C20">
              <w:rPr>
                <w:rFonts w:ascii="Times New Roman" w:hAnsi="Times New Roman" w:cs="Times New Roman"/>
                <w:iCs/>
                <w:sz w:val="24"/>
                <w:szCs w:val="24"/>
                <w:lang w:val="en-US"/>
              </w:rPr>
              <w:t xml:space="preserve">GRI, IIRC. </w:t>
            </w:r>
          </w:p>
        </w:tc>
      </w:tr>
      <w:tr w:rsidR="00BD046D" w:rsidRPr="00737C20" w14:paraId="0963D8C4" w14:textId="77777777" w:rsidTr="00645C75">
        <w:tc>
          <w:tcPr>
            <w:tcW w:w="1299" w:type="dxa"/>
          </w:tcPr>
          <w:p w14:paraId="63206747" w14:textId="77777777" w:rsidR="00BD046D" w:rsidRPr="00737C20" w:rsidRDefault="00BD046D" w:rsidP="00BD046D">
            <w:pPr>
              <w:jc w:val="both"/>
              <w:rPr>
                <w:rFonts w:ascii="Times New Roman" w:hAnsi="Times New Roman" w:cs="Times New Roman"/>
                <w:b/>
                <w:bCs/>
                <w:iCs/>
                <w:sz w:val="24"/>
                <w:szCs w:val="24"/>
              </w:rPr>
            </w:pPr>
            <w:r w:rsidRPr="00737C20">
              <w:rPr>
                <w:rFonts w:ascii="Times New Roman" w:hAnsi="Times New Roman" w:cs="Times New Roman"/>
                <w:b/>
                <w:bCs/>
                <w:iCs/>
                <w:sz w:val="24"/>
                <w:szCs w:val="24"/>
              </w:rPr>
              <w:t>Германия</w:t>
            </w:r>
          </w:p>
        </w:tc>
        <w:tc>
          <w:tcPr>
            <w:tcW w:w="8165" w:type="dxa"/>
          </w:tcPr>
          <w:p w14:paraId="6D26ED20"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Финансовый аудитор несет ответственность за проверку наличия раскрытия нефинансовой информации, требуемой Директивой. Не требуется ни проверки содержания отчета, ни проверки независимым органом, хотя директора могут быть оштрафованы за ложную информацию.</w:t>
            </w:r>
          </w:p>
        </w:tc>
      </w:tr>
      <w:tr w:rsidR="00BD046D" w:rsidRPr="00737C20" w14:paraId="6430B6E0" w14:textId="77777777" w:rsidTr="00645C75">
        <w:tc>
          <w:tcPr>
            <w:tcW w:w="1299" w:type="dxa"/>
          </w:tcPr>
          <w:p w14:paraId="567F9FA8" w14:textId="77777777" w:rsidR="00BD046D" w:rsidRPr="00737C20" w:rsidRDefault="00BD046D" w:rsidP="00BD046D">
            <w:pPr>
              <w:jc w:val="both"/>
              <w:rPr>
                <w:rFonts w:ascii="Times New Roman" w:hAnsi="Times New Roman" w:cs="Times New Roman"/>
                <w:b/>
                <w:bCs/>
                <w:iCs/>
                <w:sz w:val="24"/>
                <w:szCs w:val="24"/>
              </w:rPr>
            </w:pPr>
            <w:r w:rsidRPr="00737C20">
              <w:rPr>
                <w:rFonts w:ascii="Times New Roman" w:hAnsi="Times New Roman" w:cs="Times New Roman"/>
                <w:b/>
                <w:bCs/>
                <w:iCs/>
                <w:sz w:val="24"/>
                <w:szCs w:val="24"/>
              </w:rPr>
              <w:t>СК (</w:t>
            </w:r>
            <w:r w:rsidRPr="00737C20">
              <w:rPr>
                <w:rFonts w:ascii="Times New Roman" w:hAnsi="Times New Roman" w:cs="Times New Roman"/>
                <w:b/>
                <w:bCs/>
                <w:iCs/>
                <w:sz w:val="24"/>
                <w:szCs w:val="24"/>
                <w:lang w:val="en-US"/>
              </w:rPr>
              <w:t>UK)</w:t>
            </w:r>
          </w:p>
        </w:tc>
        <w:tc>
          <w:tcPr>
            <w:tcW w:w="8165" w:type="dxa"/>
          </w:tcPr>
          <w:p w14:paraId="791CE2AB"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iCs/>
                <w:sz w:val="24"/>
                <w:szCs w:val="24"/>
              </w:rPr>
              <w:t>В 2013 году правительство Великобритании ввело новое регулирование в соответствии с Законом о компаниях, требующее от всех зарегистрированных компаний подготовки стратегического отчета. В нем должно содержаться описание стратегии, целей и бизнес-модели организации, объяснение основных тенденций и факторов, влияющих на организацию, включая ее основные риски, и другая нефинансовая информация, касающаяся окружающей среды, сотрудников, социальных вопросов, сообщества, прав человека и гендерного разнообразия. Аудит отчета должен проводиться (законодательное требование) на предмет соответствия требованиям законодательства и любых существенных искажений, в том числе в области раскрытия нефинансовой информации.</w:t>
            </w:r>
          </w:p>
        </w:tc>
      </w:tr>
      <w:tr w:rsidR="00BD046D" w:rsidRPr="00737C20" w14:paraId="4BEEF7F1" w14:textId="77777777" w:rsidTr="00645C75">
        <w:tc>
          <w:tcPr>
            <w:tcW w:w="9464" w:type="dxa"/>
            <w:gridSpan w:val="2"/>
          </w:tcPr>
          <w:p w14:paraId="3BE499D9" w14:textId="77777777" w:rsidR="00BD046D" w:rsidRPr="00737C20" w:rsidRDefault="00BD046D" w:rsidP="00BD046D">
            <w:pPr>
              <w:jc w:val="both"/>
              <w:rPr>
                <w:rFonts w:ascii="Times New Roman" w:hAnsi="Times New Roman" w:cs="Times New Roman"/>
                <w:iCs/>
                <w:sz w:val="24"/>
                <w:szCs w:val="24"/>
              </w:rPr>
            </w:pPr>
            <w:r w:rsidRPr="00737C20">
              <w:rPr>
                <w:rFonts w:ascii="Times New Roman" w:hAnsi="Times New Roman" w:cs="Times New Roman"/>
                <w:b/>
                <w:bCs/>
                <w:iCs/>
                <w:sz w:val="24"/>
                <w:szCs w:val="24"/>
              </w:rPr>
              <w:t>Болгария, Хорватия, Чехия, Греция, Венгрия, Португалия, Румыния,</w:t>
            </w:r>
            <w:r w:rsidRPr="00737C20">
              <w:rPr>
                <w:rFonts w:ascii="Times New Roman" w:hAnsi="Times New Roman" w:cs="Times New Roman"/>
                <w:iCs/>
                <w:sz w:val="24"/>
                <w:szCs w:val="24"/>
              </w:rPr>
              <w:t xml:space="preserve"> Словакия указали, что компании не стремятся к добровольному заверению своих нефинансовых отчетов.</w:t>
            </w:r>
          </w:p>
        </w:tc>
      </w:tr>
    </w:tbl>
    <w:p w14:paraId="4A546255" w14:textId="77777777" w:rsidR="00AB3E06" w:rsidRDefault="00AB3E06" w:rsidP="00AB3E06">
      <w:pPr>
        <w:spacing w:after="80" w:line="240" w:lineRule="auto"/>
        <w:jc w:val="both"/>
        <w:rPr>
          <w:rFonts w:ascii="Times New Roman" w:hAnsi="Times New Roman" w:cs="Times New Roman"/>
          <w:i/>
          <w:sz w:val="24"/>
          <w:szCs w:val="24"/>
          <w:lang w:val="en-US"/>
        </w:rPr>
      </w:pPr>
      <w:r w:rsidRPr="00737C20">
        <w:rPr>
          <w:rFonts w:ascii="Times New Roman" w:hAnsi="Times New Roman" w:cs="Times New Roman"/>
          <w:i/>
          <w:sz w:val="24"/>
          <w:szCs w:val="24"/>
        </w:rPr>
        <w:t>Источник</w:t>
      </w:r>
      <w:r w:rsidRPr="00737C20">
        <w:rPr>
          <w:rFonts w:ascii="Times New Roman" w:hAnsi="Times New Roman" w:cs="Times New Roman"/>
          <w:i/>
          <w:sz w:val="24"/>
          <w:szCs w:val="24"/>
          <w:lang w:val="en-US"/>
        </w:rPr>
        <w:t xml:space="preserve">: </w:t>
      </w:r>
      <w:r>
        <w:rPr>
          <w:rFonts w:ascii="Times New Roman" w:hAnsi="Times New Roman" w:cs="Times New Roman"/>
          <w:i/>
          <w:sz w:val="24"/>
          <w:szCs w:val="24"/>
        </w:rPr>
        <w:t>составлено</w:t>
      </w:r>
      <w:r w:rsidRPr="00497549">
        <w:rPr>
          <w:rFonts w:ascii="Times New Roman" w:hAnsi="Times New Roman" w:cs="Times New Roman"/>
          <w:i/>
          <w:sz w:val="24"/>
          <w:szCs w:val="24"/>
          <w:lang w:val="en-US"/>
        </w:rPr>
        <w:t xml:space="preserve"> </w:t>
      </w:r>
      <w:r>
        <w:rPr>
          <w:rFonts w:ascii="Times New Roman" w:hAnsi="Times New Roman" w:cs="Times New Roman"/>
          <w:i/>
          <w:sz w:val="24"/>
          <w:szCs w:val="24"/>
        </w:rPr>
        <w:t>на</w:t>
      </w:r>
      <w:r w:rsidRPr="00497549">
        <w:rPr>
          <w:rFonts w:ascii="Times New Roman" w:hAnsi="Times New Roman" w:cs="Times New Roman"/>
          <w:i/>
          <w:sz w:val="24"/>
          <w:szCs w:val="24"/>
          <w:lang w:val="en-US"/>
        </w:rPr>
        <w:t xml:space="preserve"> </w:t>
      </w:r>
      <w:r>
        <w:rPr>
          <w:rFonts w:ascii="Times New Roman" w:hAnsi="Times New Roman" w:cs="Times New Roman"/>
          <w:i/>
          <w:sz w:val="24"/>
          <w:szCs w:val="24"/>
        </w:rPr>
        <w:t>основе</w:t>
      </w:r>
      <w:r w:rsidRPr="00497549">
        <w:rPr>
          <w:rFonts w:ascii="Times New Roman" w:hAnsi="Times New Roman" w:cs="Times New Roman"/>
          <w:i/>
          <w:sz w:val="24"/>
          <w:szCs w:val="24"/>
          <w:lang w:val="en-US"/>
        </w:rPr>
        <w:t xml:space="preserve"> </w:t>
      </w:r>
      <w:r w:rsidRPr="00737C20">
        <w:rPr>
          <w:rFonts w:ascii="Times New Roman" w:hAnsi="Times New Roman" w:cs="Times New Roman"/>
          <w:i/>
          <w:sz w:val="24"/>
          <w:szCs w:val="24"/>
          <w:lang w:val="en-US"/>
        </w:rPr>
        <w:t xml:space="preserve">Towards Reliable Non-financial Information </w:t>
      </w:r>
    </w:p>
    <w:p w14:paraId="224D4327" w14:textId="77777777" w:rsidR="00AB3E06" w:rsidRPr="00DE7F38" w:rsidRDefault="00AB3E06" w:rsidP="00AB3E06">
      <w:pPr>
        <w:spacing w:after="80" w:line="240" w:lineRule="auto"/>
        <w:jc w:val="both"/>
        <w:rPr>
          <w:rFonts w:ascii="Times New Roman" w:hAnsi="Times New Roman" w:cs="Times New Roman"/>
          <w:i/>
          <w:sz w:val="24"/>
          <w:szCs w:val="24"/>
        </w:rPr>
      </w:pPr>
      <w:r w:rsidRPr="00737C20">
        <w:rPr>
          <w:rFonts w:ascii="Times New Roman" w:hAnsi="Times New Roman" w:cs="Times New Roman"/>
          <w:i/>
          <w:sz w:val="24"/>
          <w:szCs w:val="24"/>
          <w:lang w:val="en-US"/>
        </w:rPr>
        <w:t>Across</w:t>
      </w:r>
      <w:r w:rsidRPr="00DE7F38">
        <w:rPr>
          <w:rFonts w:ascii="Times New Roman" w:hAnsi="Times New Roman" w:cs="Times New Roman"/>
          <w:i/>
          <w:sz w:val="24"/>
          <w:szCs w:val="24"/>
        </w:rPr>
        <w:t xml:space="preserve"> </w:t>
      </w:r>
      <w:r w:rsidRPr="00737C20">
        <w:rPr>
          <w:rFonts w:ascii="Times New Roman" w:hAnsi="Times New Roman" w:cs="Times New Roman"/>
          <w:i/>
          <w:sz w:val="24"/>
          <w:szCs w:val="24"/>
          <w:lang w:val="en-US"/>
        </w:rPr>
        <w:t>Europe</w:t>
      </w:r>
      <w:r w:rsidRPr="00DE7F38">
        <w:rPr>
          <w:rFonts w:ascii="Times New Roman" w:hAnsi="Times New Roman" w:cs="Times New Roman"/>
          <w:i/>
          <w:sz w:val="24"/>
          <w:szCs w:val="24"/>
        </w:rPr>
        <w:t xml:space="preserve"> </w:t>
      </w:r>
      <w:r>
        <w:rPr>
          <w:rStyle w:val="af2"/>
          <w:rFonts w:ascii="Times New Roman" w:hAnsi="Times New Roman" w:cs="Times New Roman"/>
          <w:i/>
          <w:sz w:val="24"/>
          <w:szCs w:val="24"/>
          <w:lang w:val="en-US"/>
        </w:rPr>
        <w:footnoteReference w:id="4"/>
      </w:r>
    </w:p>
    <w:p w14:paraId="4C9A7B16" w14:textId="77777777" w:rsidR="00626B12" w:rsidRDefault="00626B12" w:rsidP="00626B12">
      <w:pPr>
        <w:pStyle w:val="af3"/>
        <w:rPr>
          <w:rFonts w:ascii="Times New Roman" w:hAnsi="Times New Roman" w:cs="Times New Roman"/>
          <w:b/>
          <w:i w:val="0"/>
          <w:color w:val="auto"/>
        </w:rPr>
      </w:pPr>
      <w:r w:rsidRPr="00E00953">
        <w:rPr>
          <w:rFonts w:ascii="Times New Roman" w:hAnsi="Times New Roman" w:cs="Times New Roman"/>
          <w:b/>
          <w:i w:val="0"/>
          <w:color w:val="auto"/>
        </w:rPr>
        <w:t>Практика верификации в других странах</w:t>
      </w:r>
    </w:p>
    <w:p w14:paraId="10558991" w14:textId="2674A9B1" w:rsidR="00626B12" w:rsidRPr="00626B12" w:rsidRDefault="00626B12" w:rsidP="00626B12">
      <w:pPr>
        <w:spacing w:before="40" w:after="80"/>
        <w:jc w:val="both"/>
        <w:rPr>
          <w:rFonts w:ascii="Times New Roman" w:hAnsi="Times New Roman" w:cs="Times New Roman"/>
          <w:iCs/>
          <w:sz w:val="24"/>
          <w:szCs w:val="24"/>
        </w:rPr>
      </w:pPr>
      <w:r w:rsidRPr="00B76F94">
        <w:rPr>
          <w:rFonts w:ascii="Times New Roman" w:hAnsi="Times New Roman" w:cs="Times New Roman"/>
          <w:bCs/>
          <w:iCs/>
          <w:sz w:val="24"/>
          <w:szCs w:val="24"/>
        </w:rPr>
        <w:t>Таблица</w:t>
      </w:r>
      <w:r>
        <w:rPr>
          <w:rFonts w:ascii="Times New Roman" w:hAnsi="Times New Roman" w:cs="Times New Roman"/>
          <w:bCs/>
          <w:iCs/>
          <w:sz w:val="24"/>
          <w:szCs w:val="24"/>
        </w:rPr>
        <w:t xml:space="preserve"> 3</w:t>
      </w:r>
      <w:r w:rsidRPr="00B76F94">
        <w:rPr>
          <w:rFonts w:ascii="Times New Roman" w:hAnsi="Times New Roman" w:cs="Times New Roman"/>
          <w:bCs/>
          <w:iCs/>
          <w:sz w:val="24"/>
          <w:szCs w:val="24"/>
        </w:rPr>
        <w:t xml:space="preserve"> - </w:t>
      </w:r>
      <w:r>
        <w:rPr>
          <w:rFonts w:ascii="Times New Roman" w:hAnsi="Times New Roman" w:cs="Times New Roman"/>
          <w:iCs/>
          <w:sz w:val="24"/>
          <w:szCs w:val="24"/>
        </w:rPr>
        <w:t>Требования к нефинансовой отчетности</w:t>
      </w:r>
      <w:r w:rsidRPr="00B76F94">
        <w:rPr>
          <w:rFonts w:ascii="Times New Roman" w:hAnsi="Times New Roman" w:cs="Times New Roman"/>
          <w:bCs/>
          <w:iCs/>
          <w:sz w:val="24"/>
          <w:szCs w:val="24"/>
        </w:rPr>
        <w:t xml:space="preserve"> </w:t>
      </w:r>
      <w:r>
        <w:rPr>
          <w:rFonts w:ascii="Times New Roman" w:hAnsi="Times New Roman" w:cs="Times New Roman"/>
          <w:bCs/>
          <w:iCs/>
          <w:sz w:val="24"/>
          <w:szCs w:val="24"/>
        </w:rPr>
        <w:t>в странах Африки, Китае, Сингапуре и Индии</w:t>
      </w:r>
    </w:p>
    <w:tbl>
      <w:tblPr>
        <w:tblStyle w:val="a7"/>
        <w:tblW w:w="0" w:type="auto"/>
        <w:tblLook w:val="04A0" w:firstRow="1" w:lastRow="0" w:firstColumn="1" w:lastColumn="0" w:noHBand="0" w:noVBand="1"/>
      </w:tblPr>
      <w:tblGrid>
        <w:gridCol w:w="1686"/>
        <w:gridCol w:w="7659"/>
      </w:tblGrid>
      <w:tr w:rsidR="00626B12" w:rsidRPr="00737C20" w14:paraId="551931F0" w14:textId="77777777" w:rsidTr="00645C75">
        <w:tc>
          <w:tcPr>
            <w:tcW w:w="1696" w:type="dxa"/>
          </w:tcPr>
          <w:p w14:paraId="6BAF0742" w14:textId="570C554D" w:rsidR="00626B12" w:rsidRPr="00737C20" w:rsidRDefault="00626B12" w:rsidP="00626B12">
            <w:pPr>
              <w:jc w:val="both"/>
              <w:rPr>
                <w:rFonts w:ascii="Times New Roman" w:hAnsi="Times New Roman" w:cs="Times New Roman"/>
                <w:b/>
                <w:bCs/>
                <w:iCs/>
                <w:sz w:val="24"/>
                <w:szCs w:val="24"/>
              </w:rPr>
            </w:pPr>
            <w:r>
              <w:rPr>
                <w:rFonts w:ascii="Times New Roman" w:hAnsi="Times New Roman" w:cs="Times New Roman"/>
                <w:iCs/>
                <w:sz w:val="24"/>
                <w:szCs w:val="24"/>
              </w:rPr>
              <w:t>Страна</w:t>
            </w:r>
          </w:p>
        </w:tc>
        <w:tc>
          <w:tcPr>
            <w:tcW w:w="7768" w:type="dxa"/>
          </w:tcPr>
          <w:p w14:paraId="34B66A4F" w14:textId="0F31579F" w:rsidR="00626B12" w:rsidRDefault="00626B12" w:rsidP="00626B12">
            <w:pPr>
              <w:jc w:val="both"/>
              <w:rPr>
                <w:rFonts w:ascii="Times New Roman" w:hAnsi="Times New Roman" w:cs="Times New Roman"/>
                <w:bCs/>
                <w:sz w:val="24"/>
                <w:szCs w:val="24"/>
              </w:rPr>
            </w:pPr>
            <w:r>
              <w:rPr>
                <w:rFonts w:ascii="Times New Roman" w:hAnsi="Times New Roman" w:cs="Times New Roman"/>
                <w:iCs/>
                <w:sz w:val="24"/>
                <w:szCs w:val="24"/>
              </w:rPr>
              <w:t>Требования к нефинансовой отчетности</w:t>
            </w:r>
          </w:p>
        </w:tc>
      </w:tr>
      <w:tr w:rsidR="00626B12" w:rsidRPr="00737C20" w14:paraId="6A39BF21" w14:textId="77777777" w:rsidTr="00645C75">
        <w:tc>
          <w:tcPr>
            <w:tcW w:w="1696" w:type="dxa"/>
          </w:tcPr>
          <w:p w14:paraId="22F83985" w14:textId="77777777" w:rsidR="00626B12" w:rsidRPr="00737C20" w:rsidRDefault="00626B12" w:rsidP="00626B12">
            <w:pPr>
              <w:jc w:val="both"/>
              <w:rPr>
                <w:rFonts w:ascii="Times New Roman" w:hAnsi="Times New Roman" w:cs="Times New Roman"/>
                <w:b/>
                <w:bCs/>
                <w:iCs/>
                <w:sz w:val="24"/>
                <w:szCs w:val="24"/>
                <w:lang w:val="en-US"/>
              </w:rPr>
            </w:pPr>
            <w:r w:rsidRPr="00737C20">
              <w:rPr>
                <w:rFonts w:ascii="Times New Roman" w:hAnsi="Times New Roman" w:cs="Times New Roman"/>
                <w:b/>
                <w:bCs/>
                <w:iCs/>
                <w:sz w:val="24"/>
                <w:szCs w:val="24"/>
              </w:rPr>
              <w:t>Индия</w:t>
            </w:r>
          </w:p>
          <w:p w14:paraId="27C36627" w14:textId="77777777" w:rsidR="00626B12" w:rsidRPr="00737C20" w:rsidRDefault="00626B12" w:rsidP="00626B12">
            <w:pPr>
              <w:jc w:val="both"/>
              <w:rPr>
                <w:rFonts w:ascii="Times New Roman" w:hAnsi="Times New Roman" w:cs="Times New Roman"/>
                <w:b/>
                <w:bCs/>
                <w:iCs/>
                <w:sz w:val="24"/>
                <w:szCs w:val="24"/>
              </w:rPr>
            </w:pPr>
          </w:p>
        </w:tc>
        <w:tc>
          <w:tcPr>
            <w:tcW w:w="7768" w:type="dxa"/>
          </w:tcPr>
          <w:p w14:paraId="0E32C0E9" w14:textId="69F32ED9" w:rsidR="00626B12" w:rsidRDefault="00626B12" w:rsidP="00626B12">
            <w:pPr>
              <w:jc w:val="both"/>
              <w:rPr>
                <w:rFonts w:ascii="Times New Roman" w:hAnsi="Times New Roman" w:cs="Times New Roman"/>
                <w:sz w:val="24"/>
                <w:szCs w:val="24"/>
              </w:rPr>
            </w:pPr>
            <w:r>
              <w:rPr>
                <w:rFonts w:ascii="Times New Roman" w:hAnsi="Times New Roman" w:cs="Times New Roman"/>
                <w:bCs/>
                <w:sz w:val="24"/>
                <w:szCs w:val="24"/>
              </w:rPr>
              <w:t>Согласно</w:t>
            </w:r>
            <w:r w:rsidRPr="002A48D4">
              <w:rPr>
                <w:rFonts w:ascii="Times New Roman" w:hAnsi="Times New Roman" w:cs="Times New Roman"/>
                <w:bCs/>
                <w:sz w:val="24"/>
                <w:szCs w:val="24"/>
              </w:rPr>
              <w:t xml:space="preserve"> </w:t>
            </w:r>
            <w:r>
              <w:rPr>
                <w:rFonts w:ascii="Times New Roman" w:hAnsi="Times New Roman" w:cs="Times New Roman"/>
                <w:bCs/>
                <w:sz w:val="24"/>
                <w:szCs w:val="24"/>
              </w:rPr>
              <w:t>требованиям</w:t>
            </w:r>
            <w:r w:rsidRPr="002A48D4">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National</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Stock</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Exchange</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of</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India</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Ltd</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NSE</w:t>
            </w:r>
            <w:r w:rsidRPr="001211C1">
              <w:rPr>
                <w:rFonts w:ascii="Times New Roman" w:hAnsi="Times New Roman" w:cs="Times New Roman"/>
                <w:bCs/>
                <w:sz w:val="24"/>
                <w:szCs w:val="24"/>
              </w:rPr>
              <w:t xml:space="preserve"> </w:t>
            </w:r>
            <w:r w:rsidRPr="00737C20">
              <w:rPr>
                <w:rFonts w:ascii="Times New Roman" w:hAnsi="Times New Roman" w:cs="Times New Roman"/>
                <w:bCs/>
                <w:sz w:val="24"/>
                <w:szCs w:val="24"/>
                <w:lang w:val="en-US"/>
              </w:rPr>
              <w:t>India</w:t>
            </w:r>
            <w:r w:rsidRPr="001211C1">
              <w:rPr>
                <w:rFonts w:ascii="Times New Roman" w:hAnsi="Times New Roman" w:cs="Times New Roman"/>
                <w:bCs/>
                <w:sz w:val="24"/>
                <w:szCs w:val="24"/>
              </w:rPr>
              <w:t>)</w:t>
            </w:r>
            <w:r w:rsidRPr="002A48D4">
              <w:rPr>
                <w:rFonts w:ascii="Times New Roman" w:hAnsi="Times New Roman" w:cs="Times New Roman"/>
                <w:bCs/>
                <w:sz w:val="24"/>
                <w:szCs w:val="24"/>
              </w:rPr>
              <w:t xml:space="preserve"> </w:t>
            </w:r>
            <w:r>
              <w:rPr>
                <w:rFonts w:ascii="Times New Roman" w:hAnsi="Times New Roman" w:cs="Times New Roman"/>
                <w:sz w:val="24"/>
                <w:szCs w:val="24"/>
              </w:rPr>
              <w:t>н</w:t>
            </w:r>
            <w:r w:rsidRPr="00737C20">
              <w:rPr>
                <w:rFonts w:ascii="Times New Roman" w:hAnsi="Times New Roman" w:cs="Times New Roman"/>
                <w:sz w:val="24"/>
                <w:szCs w:val="24"/>
              </w:rPr>
              <w:t xml:space="preserve">ефинансовая информация, по которой компании, зарегистрированные на бирже, обязаны отчитываться, включает в себя философию компании по кодексу управления, совет директоров, комитет по аудиту, комитет по вознаграждениям, комитет акционеров, общие собрания акционеров, средства коммуникации, раскрытие существенно значимых сделок со связанными сторонами, политику в отношении информаторов и подробную информацию о соблюдении требований, предоставленной обязательными аудиторами. </w:t>
            </w:r>
          </w:p>
          <w:p w14:paraId="4C1F5CD9" w14:textId="4391841A" w:rsidR="00626B12" w:rsidRPr="00737C20" w:rsidRDefault="00626B12" w:rsidP="00626B12">
            <w:pPr>
              <w:jc w:val="both"/>
              <w:rPr>
                <w:rFonts w:ascii="Times New Roman" w:hAnsi="Times New Roman" w:cs="Times New Roman"/>
                <w:sz w:val="24"/>
                <w:szCs w:val="24"/>
              </w:rPr>
            </w:pPr>
            <w:r w:rsidRPr="00737C20">
              <w:rPr>
                <w:rFonts w:ascii="Times New Roman" w:hAnsi="Times New Roman" w:cs="Times New Roman"/>
                <w:sz w:val="24"/>
                <w:szCs w:val="24"/>
              </w:rPr>
              <w:t>Если какое-либо из требований листинга не соблюдается, компания должна указать причины несоблюдения.</w:t>
            </w:r>
          </w:p>
        </w:tc>
      </w:tr>
      <w:tr w:rsidR="00626B12" w:rsidRPr="00737C20" w14:paraId="68CC6A4B" w14:textId="77777777" w:rsidTr="00645C75">
        <w:tc>
          <w:tcPr>
            <w:tcW w:w="1696" w:type="dxa"/>
          </w:tcPr>
          <w:p w14:paraId="44664E13" w14:textId="77777777" w:rsidR="00626B12" w:rsidRPr="00737C20" w:rsidRDefault="00626B12" w:rsidP="00626B12">
            <w:pPr>
              <w:jc w:val="both"/>
              <w:rPr>
                <w:rFonts w:ascii="Times New Roman" w:hAnsi="Times New Roman" w:cs="Times New Roman"/>
                <w:b/>
                <w:bCs/>
                <w:sz w:val="24"/>
                <w:szCs w:val="24"/>
              </w:rPr>
            </w:pPr>
            <w:r w:rsidRPr="00737C20">
              <w:rPr>
                <w:rFonts w:ascii="Times New Roman" w:hAnsi="Times New Roman" w:cs="Times New Roman"/>
                <w:b/>
                <w:bCs/>
                <w:sz w:val="24"/>
                <w:szCs w:val="24"/>
              </w:rPr>
              <w:t>Сингапур</w:t>
            </w:r>
          </w:p>
          <w:p w14:paraId="23CDF6C3" w14:textId="77777777" w:rsidR="00626B12" w:rsidRPr="00737C20" w:rsidRDefault="00626B12" w:rsidP="00626B12">
            <w:pPr>
              <w:jc w:val="both"/>
              <w:rPr>
                <w:rFonts w:ascii="Times New Roman" w:hAnsi="Times New Roman" w:cs="Times New Roman"/>
                <w:b/>
                <w:bCs/>
                <w:iCs/>
                <w:sz w:val="24"/>
                <w:szCs w:val="24"/>
              </w:rPr>
            </w:pPr>
          </w:p>
        </w:tc>
        <w:tc>
          <w:tcPr>
            <w:tcW w:w="7768" w:type="dxa"/>
          </w:tcPr>
          <w:p w14:paraId="2F8051BC" w14:textId="4085B396" w:rsidR="00626B12" w:rsidRPr="00737C20" w:rsidRDefault="00626B12" w:rsidP="00626B12">
            <w:pPr>
              <w:jc w:val="both"/>
              <w:rPr>
                <w:rFonts w:ascii="Times New Roman" w:hAnsi="Times New Roman" w:cs="Times New Roman"/>
                <w:sz w:val="24"/>
                <w:szCs w:val="24"/>
              </w:rPr>
            </w:pPr>
            <w:r>
              <w:rPr>
                <w:rFonts w:ascii="Times New Roman" w:hAnsi="Times New Roman" w:cs="Times New Roman"/>
                <w:sz w:val="24"/>
                <w:szCs w:val="24"/>
              </w:rPr>
              <w:t xml:space="preserve">С 1 января 2022 года </w:t>
            </w:r>
            <w:r w:rsidRPr="00737C20">
              <w:rPr>
                <w:rFonts w:ascii="Times New Roman" w:hAnsi="Times New Roman" w:cs="Times New Roman"/>
                <w:sz w:val="24"/>
                <w:szCs w:val="24"/>
              </w:rPr>
              <w:t>SGX регулятор установил направление для эмитентов или листинговых компаний в отношении раскрытия информации в области устойчивого развития в соответствии с рекомендациями TCFD.</w:t>
            </w:r>
          </w:p>
        </w:tc>
      </w:tr>
      <w:tr w:rsidR="00626B12" w:rsidRPr="00737C20" w14:paraId="214E1DBC" w14:textId="77777777" w:rsidTr="00645C75">
        <w:tc>
          <w:tcPr>
            <w:tcW w:w="1696" w:type="dxa"/>
          </w:tcPr>
          <w:p w14:paraId="0516A6A7" w14:textId="77777777" w:rsidR="00626B12" w:rsidRPr="00737C20" w:rsidRDefault="00626B12" w:rsidP="00626B12">
            <w:pPr>
              <w:jc w:val="both"/>
              <w:rPr>
                <w:rFonts w:ascii="Times New Roman" w:hAnsi="Times New Roman" w:cs="Times New Roman"/>
                <w:b/>
                <w:bCs/>
                <w:sz w:val="24"/>
                <w:szCs w:val="24"/>
              </w:rPr>
            </w:pPr>
            <w:r w:rsidRPr="00737C20">
              <w:rPr>
                <w:rFonts w:ascii="Times New Roman" w:hAnsi="Times New Roman" w:cs="Times New Roman"/>
                <w:b/>
                <w:bCs/>
                <w:sz w:val="24"/>
                <w:szCs w:val="24"/>
              </w:rPr>
              <w:t>Африка</w:t>
            </w:r>
          </w:p>
          <w:p w14:paraId="5103FB41" w14:textId="77777777" w:rsidR="00626B12" w:rsidRPr="00737C20" w:rsidRDefault="00626B12" w:rsidP="00626B12">
            <w:pPr>
              <w:jc w:val="both"/>
              <w:rPr>
                <w:rFonts w:ascii="Times New Roman" w:hAnsi="Times New Roman" w:cs="Times New Roman"/>
                <w:b/>
                <w:bCs/>
                <w:iCs/>
                <w:sz w:val="24"/>
                <w:szCs w:val="24"/>
              </w:rPr>
            </w:pPr>
          </w:p>
        </w:tc>
        <w:tc>
          <w:tcPr>
            <w:tcW w:w="7768" w:type="dxa"/>
          </w:tcPr>
          <w:p w14:paraId="20CADB5C" w14:textId="74D4B8FA" w:rsidR="00626B12" w:rsidRPr="00737C20" w:rsidRDefault="00626B12" w:rsidP="00D4443C">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Руководство </w:t>
            </w:r>
            <w:r w:rsidR="00D4443C">
              <w:rPr>
                <w:rFonts w:ascii="Times New Roman" w:hAnsi="Times New Roman" w:cs="Times New Roman"/>
                <w:iCs/>
                <w:sz w:val="24"/>
                <w:szCs w:val="24"/>
              </w:rPr>
              <w:t>Йоханнесбургской фондовой биржи</w:t>
            </w:r>
            <w:r w:rsidRPr="00737C20">
              <w:rPr>
                <w:rFonts w:ascii="Times New Roman" w:hAnsi="Times New Roman" w:cs="Times New Roman"/>
                <w:iCs/>
                <w:sz w:val="24"/>
                <w:szCs w:val="24"/>
              </w:rPr>
              <w:t xml:space="preserve"> по раскрытию информации об устойчивом развитии согласуется с наиболее влиятельными глобальными инициативами по раскрытию информации об устойчивом развитии и изменении климата и опирается на них, включая </w:t>
            </w:r>
            <w:r>
              <w:rPr>
                <w:rFonts w:ascii="Times New Roman" w:hAnsi="Times New Roman" w:cs="Times New Roman"/>
                <w:iCs/>
                <w:sz w:val="24"/>
                <w:szCs w:val="24"/>
              </w:rPr>
              <w:t>с</w:t>
            </w:r>
            <w:r w:rsidRPr="00737C20">
              <w:rPr>
                <w:rFonts w:ascii="Times New Roman" w:hAnsi="Times New Roman" w:cs="Times New Roman"/>
                <w:iCs/>
                <w:sz w:val="24"/>
                <w:szCs w:val="24"/>
              </w:rPr>
              <w:t xml:space="preserve">тандарты отчетности в области устойчивого развития GRI, рекомендации TCFD и Международный отчет IIRC, а также руководство по устойчивому развитию/ESG различных равноправных обменов. </w:t>
            </w:r>
            <w:r>
              <w:rPr>
                <w:rFonts w:ascii="Times New Roman" w:hAnsi="Times New Roman" w:cs="Times New Roman"/>
                <w:iCs/>
                <w:sz w:val="24"/>
                <w:szCs w:val="24"/>
              </w:rPr>
              <w:t>Данное</w:t>
            </w:r>
            <w:r w:rsidRPr="00737C20">
              <w:rPr>
                <w:rFonts w:ascii="Times New Roman" w:hAnsi="Times New Roman" w:cs="Times New Roman"/>
                <w:iCs/>
                <w:sz w:val="24"/>
                <w:szCs w:val="24"/>
              </w:rPr>
              <w:t xml:space="preserve"> Руководство по раскрытию информации не предназначено для замены какой-либо из этих глобальных инициатив, а скорее направлено на то, чтобы помочь компаниям ориентироваться в сфере стандартов отчетности</w:t>
            </w:r>
            <w:r w:rsidR="00D4443C">
              <w:rPr>
                <w:rFonts w:ascii="Times New Roman" w:hAnsi="Times New Roman" w:cs="Times New Roman"/>
                <w:iCs/>
                <w:sz w:val="24"/>
                <w:szCs w:val="24"/>
              </w:rPr>
              <w:t>.</w:t>
            </w:r>
          </w:p>
        </w:tc>
      </w:tr>
      <w:tr w:rsidR="00626B12" w:rsidRPr="00737C20" w14:paraId="7D67BDF1" w14:textId="77777777" w:rsidTr="00645C75">
        <w:tc>
          <w:tcPr>
            <w:tcW w:w="1696" w:type="dxa"/>
          </w:tcPr>
          <w:p w14:paraId="4CD76972" w14:textId="77777777" w:rsidR="00626B12" w:rsidRPr="00737C20" w:rsidRDefault="00626B12" w:rsidP="00626B12">
            <w:pPr>
              <w:jc w:val="both"/>
              <w:rPr>
                <w:rFonts w:ascii="Times New Roman" w:hAnsi="Times New Roman" w:cs="Times New Roman"/>
                <w:b/>
                <w:bCs/>
                <w:iCs/>
                <w:sz w:val="24"/>
                <w:szCs w:val="24"/>
              </w:rPr>
            </w:pPr>
            <w:r w:rsidRPr="00737C20">
              <w:rPr>
                <w:rFonts w:ascii="Times New Roman" w:hAnsi="Times New Roman" w:cs="Times New Roman"/>
                <w:b/>
                <w:bCs/>
                <w:sz w:val="24"/>
                <w:szCs w:val="24"/>
              </w:rPr>
              <w:t>Китай</w:t>
            </w:r>
          </w:p>
        </w:tc>
        <w:tc>
          <w:tcPr>
            <w:tcW w:w="7768" w:type="dxa"/>
          </w:tcPr>
          <w:p w14:paraId="1D83B75A" w14:textId="186D022F" w:rsidR="00626B12" w:rsidRPr="00737C20" w:rsidRDefault="00D4443C" w:rsidP="00626B12">
            <w:pPr>
              <w:jc w:val="both"/>
              <w:rPr>
                <w:rFonts w:ascii="Times New Roman" w:hAnsi="Times New Roman" w:cs="Times New Roman"/>
                <w:iCs/>
                <w:sz w:val="24"/>
                <w:szCs w:val="24"/>
              </w:rPr>
            </w:pPr>
            <w:r w:rsidRPr="00D4443C">
              <w:rPr>
                <w:rFonts w:ascii="Times New Roman" w:hAnsi="Times New Roman" w:cs="Times New Roman"/>
                <w:iCs/>
                <w:sz w:val="24"/>
                <w:szCs w:val="24"/>
              </w:rPr>
              <w:t>Министерство экологии и охраны окружающей среды Китая опубликовало Меры по управлению раскрытием экологической информации предприятий</w:t>
            </w:r>
            <w:r>
              <w:rPr>
                <w:rFonts w:ascii="Times New Roman" w:hAnsi="Times New Roman" w:cs="Times New Roman"/>
                <w:iCs/>
                <w:sz w:val="24"/>
                <w:szCs w:val="24"/>
              </w:rPr>
              <w:t xml:space="preserve"> (Меры чистого производства). </w:t>
            </w:r>
            <w:r w:rsidR="00626B12">
              <w:rPr>
                <w:rFonts w:ascii="Times New Roman" w:hAnsi="Times New Roman" w:cs="Times New Roman"/>
                <w:iCs/>
                <w:sz w:val="24"/>
                <w:szCs w:val="24"/>
              </w:rPr>
              <w:t>О</w:t>
            </w:r>
            <w:r w:rsidR="00626B12" w:rsidRPr="00737C20">
              <w:rPr>
                <w:rFonts w:ascii="Times New Roman" w:hAnsi="Times New Roman" w:cs="Times New Roman"/>
                <w:iCs/>
                <w:sz w:val="24"/>
                <w:szCs w:val="24"/>
              </w:rPr>
              <w:t>бязательный аудит чистого производства в соответствии с Мерами аудита чистого производства</w:t>
            </w:r>
            <w:r w:rsidR="00626B12">
              <w:rPr>
                <w:rFonts w:ascii="Times New Roman" w:hAnsi="Times New Roman" w:cs="Times New Roman"/>
                <w:iCs/>
                <w:sz w:val="24"/>
                <w:szCs w:val="24"/>
              </w:rPr>
              <w:t xml:space="preserve"> должны проходить</w:t>
            </w:r>
            <w:r w:rsidR="00626B12" w:rsidRPr="00737C20">
              <w:rPr>
                <w:rFonts w:ascii="Times New Roman" w:hAnsi="Times New Roman" w:cs="Times New Roman"/>
                <w:iCs/>
                <w:sz w:val="24"/>
                <w:szCs w:val="24"/>
              </w:rPr>
              <w:t xml:space="preserve">: </w:t>
            </w:r>
          </w:p>
          <w:p w14:paraId="611DC971" w14:textId="207BA47B" w:rsidR="00626B12" w:rsidRPr="00737C20" w:rsidRDefault="00626B12" w:rsidP="00626B12">
            <w:pPr>
              <w:pStyle w:val="a6"/>
              <w:numPr>
                <w:ilvl w:val="0"/>
                <w:numId w:val="12"/>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к</w:t>
            </w:r>
            <w:r w:rsidRPr="00737C20">
              <w:rPr>
                <w:rFonts w:ascii="Times New Roman" w:hAnsi="Times New Roman" w:cs="Times New Roman"/>
                <w:iCs/>
                <w:sz w:val="24"/>
                <w:szCs w:val="24"/>
              </w:rPr>
              <w:t>омпании, которые сбрасывают загрязняющие вещества сверх национальных или местных стандартов;</w:t>
            </w:r>
          </w:p>
          <w:p w14:paraId="4EC5D468" w14:textId="4C5F1417" w:rsidR="00626B12" w:rsidRPr="00737C20" w:rsidRDefault="00626B12" w:rsidP="00626B12">
            <w:pPr>
              <w:pStyle w:val="a6"/>
              <w:numPr>
                <w:ilvl w:val="0"/>
                <w:numId w:val="12"/>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к</w:t>
            </w:r>
            <w:r w:rsidRPr="00737C20">
              <w:rPr>
                <w:rFonts w:ascii="Times New Roman" w:hAnsi="Times New Roman" w:cs="Times New Roman"/>
                <w:iCs/>
                <w:sz w:val="24"/>
                <w:szCs w:val="24"/>
              </w:rPr>
              <w:t>омпании, которые превышают установленный предел потребления энергии для единицы продукции и, следовательно, составляют «высокое энергопотребление»;</w:t>
            </w:r>
          </w:p>
          <w:p w14:paraId="16728A40" w14:textId="78BACDCD" w:rsidR="00626B12" w:rsidRPr="00737C20" w:rsidRDefault="00626B12" w:rsidP="00626B12">
            <w:pPr>
              <w:pStyle w:val="a6"/>
              <w:numPr>
                <w:ilvl w:val="0"/>
                <w:numId w:val="12"/>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к</w:t>
            </w:r>
            <w:r w:rsidRPr="00737C20">
              <w:rPr>
                <w:rFonts w:ascii="Times New Roman" w:hAnsi="Times New Roman" w:cs="Times New Roman"/>
                <w:iCs/>
                <w:sz w:val="24"/>
                <w:szCs w:val="24"/>
              </w:rPr>
              <w:t>омпании, которые используют токсичное и вредное сырье для производства или выделяют токсичные и вредные вещества в процессе производства.</w:t>
            </w:r>
          </w:p>
          <w:p w14:paraId="432E8561" w14:textId="1D1D2609" w:rsidR="00626B12" w:rsidRPr="00737C20" w:rsidRDefault="00626B12" w:rsidP="00626B12">
            <w:pPr>
              <w:jc w:val="both"/>
              <w:rPr>
                <w:rFonts w:ascii="Times New Roman" w:hAnsi="Times New Roman" w:cs="Times New Roman"/>
                <w:iCs/>
                <w:sz w:val="24"/>
                <w:szCs w:val="24"/>
              </w:rPr>
            </w:pPr>
            <w:r w:rsidRPr="00737C20">
              <w:rPr>
                <w:rFonts w:ascii="Times New Roman" w:hAnsi="Times New Roman" w:cs="Times New Roman"/>
                <w:iCs/>
                <w:sz w:val="24"/>
                <w:szCs w:val="24"/>
              </w:rPr>
              <w:t xml:space="preserve">Компании, которые обязаны пройти обязательный аудит чистого производства, также должны раскрывать: </w:t>
            </w:r>
          </w:p>
          <w:p w14:paraId="6ABFA2B1" w14:textId="7D543F77" w:rsidR="00626B12" w:rsidRPr="00737C20" w:rsidRDefault="00626B12" w:rsidP="00626B12">
            <w:pPr>
              <w:pStyle w:val="a6"/>
              <w:numPr>
                <w:ilvl w:val="0"/>
                <w:numId w:val="11"/>
              </w:numPr>
              <w:spacing w:after="200" w:line="240" w:lineRule="auto"/>
              <w:jc w:val="both"/>
              <w:rPr>
                <w:rFonts w:ascii="Times New Roman" w:hAnsi="Times New Roman" w:cs="Times New Roman"/>
                <w:iCs/>
                <w:sz w:val="24"/>
                <w:szCs w:val="24"/>
              </w:rPr>
            </w:pPr>
            <w:r>
              <w:rPr>
                <w:rFonts w:ascii="Times New Roman" w:hAnsi="Times New Roman" w:cs="Times New Roman"/>
                <w:iCs/>
                <w:sz w:val="24"/>
                <w:szCs w:val="24"/>
              </w:rPr>
              <w:t>п</w:t>
            </w:r>
            <w:r w:rsidRPr="00737C20">
              <w:rPr>
                <w:rFonts w:ascii="Times New Roman" w:hAnsi="Times New Roman" w:cs="Times New Roman"/>
                <w:iCs/>
                <w:sz w:val="24"/>
                <w:szCs w:val="24"/>
              </w:rPr>
              <w:t>ричин</w:t>
            </w:r>
            <w:r>
              <w:rPr>
                <w:rFonts w:ascii="Times New Roman" w:hAnsi="Times New Roman" w:cs="Times New Roman"/>
                <w:iCs/>
                <w:sz w:val="24"/>
                <w:szCs w:val="24"/>
              </w:rPr>
              <w:t>у</w:t>
            </w:r>
            <w:r w:rsidRPr="00737C20">
              <w:rPr>
                <w:rFonts w:ascii="Times New Roman" w:hAnsi="Times New Roman" w:cs="Times New Roman"/>
                <w:iCs/>
                <w:sz w:val="24"/>
                <w:szCs w:val="24"/>
              </w:rPr>
              <w:t xml:space="preserve"> необходимости прохождения обязательного аудита чистого производства; </w:t>
            </w:r>
          </w:p>
          <w:p w14:paraId="54D152F1" w14:textId="28F98883" w:rsidR="00626B12" w:rsidRPr="00737C20" w:rsidRDefault="00626B12" w:rsidP="00626B12">
            <w:pPr>
              <w:pStyle w:val="a6"/>
              <w:numPr>
                <w:ilvl w:val="0"/>
                <w:numId w:val="11"/>
              </w:numPr>
              <w:spacing w:after="200" w:line="240" w:lineRule="auto"/>
              <w:jc w:val="both"/>
              <w:rPr>
                <w:rFonts w:ascii="Times New Roman" w:hAnsi="Times New Roman" w:cs="Times New Roman"/>
                <w:b/>
                <w:bCs/>
                <w:iCs/>
                <w:sz w:val="24"/>
                <w:szCs w:val="24"/>
              </w:rPr>
            </w:pPr>
            <w:r w:rsidRPr="00737C20">
              <w:rPr>
                <w:rFonts w:ascii="Times New Roman" w:hAnsi="Times New Roman" w:cs="Times New Roman"/>
                <w:iCs/>
                <w:sz w:val="24"/>
                <w:szCs w:val="24"/>
              </w:rPr>
              <w:t>результат</w:t>
            </w:r>
            <w:r>
              <w:rPr>
                <w:rFonts w:ascii="Times New Roman" w:hAnsi="Times New Roman" w:cs="Times New Roman"/>
                <w:iCs/>
                <w:sz w:val="24"/>
                <w:szCs w:val="24"/>
              </w:rPr>
              <w:t>ы</w:t>
            </w:r>
            <w:r w:rsidRPr="00737C20">
              <w:rPr>
                <w:rFonts w:ascii="Times New Roman" w:hAnsi="Times New Roman" w:cs="Times New Roman"/>
                <w:iCs/>
                <w:sz w:val="24"/>
                <w:szCs w:val="24"/>
              </w:rPr>
              <w:t xml:space="preserve"> обязательного аудита чистого производства.</w:t>
            </w:r>
            <w:r w:rsidRPr="00737C20">
              <w:rPr>
                <w:rFonts w:ascii="Times New Roman" w:hAnsi="Times New Roman" w:cs="Times New Roman"/>
                <w:b/>
                <w:bCs/>
                <w:iCs/>
                <w:sz w:val="24"/>
                <w:szCs w:val="24"/>
              </w:rPr>
              <w:t xml:space="preserve"> </w:t>
            </w:r>
          </w:p>
        </w:tc>
      </w:tr>
    </w:tbl>
    <w:p w14:paraId="0FEEB0F4" w14:textId="77777777" w:rsidR="00D45BDC" w:rsidRDefault="00D45BDC" w:rsidP="00E00953">
      <w:pPr>
        <w:spacing w:line="240" w:lineRule="auto"/>
        <w:ind w:firstLine="708"/>
        <w:jc w:val="both"/>
        <w:rPr>
          <w:rFonts w:ascii="Times New Roman" w:hAnsi="Times New Roman" w:cs="Times New Roman"/>
          <w:b/>
          <w:sz w:val="24"/>
          <w:szCs w:val="24"/>
        </w:rPr>
      </w:pPr>
    </w:p>
    <w:p w14:paraId="5307316B" w14:textId="161FDD2C" w:rsidR="008B549F" w:rsidRPr="00737C20" w:rsidRDefault="00D45BDC" w:rsidP="00E00953">
      <w:pPr>
        <w:spacing w:line="240" w:lineRule="auto"/>
        <w:ind w:firstLine="708"/>
        <w:jc w:val="both"/>
        <w:rPr>
          <w:rFonts w:ascii="Times New Roman" w:hAnsi="Times New Roman" w:cs="Times New Roman"/>
          <w:sz w:val="24"/>
          <w:szCs w:val="24"/>
        </w:rPr>
      </w:pPr>
      <w:r>
        <w:rPr>
          <w:rFonts w:ascii="Times New Roman" w:hAnsi="Times New Roman" w:cs="Times New Roman"/>
          <w:b/>
          <w:sz w:val="24"/>
          <w:szCs w:val="24"/>
        </w:rPr>
        <w:t>У СРО ААС отсутствует и</w:t>
      </w:r>
      <w:r w:rsidR="008B549F" w:rsidRPr="00737C20">
        <w:rPr>
          <w:rFonts w:ascii="Times New Roman" w:hAnsi="Times New Roman" w:cs="Times New Roman"/>
          <w:b/>
          <w:sz w:val="24"/>
          <w:szCs w:val="24"/>
        </w:rPr>
        <w:t>нформаци</w:t>
      </w:r>
      <w:r>
        <w:rPr>
          <w:rFonts w:ascii="Times New Roman" w:hAnsi="Times New Roman" w:cs="Times New Roman"/>
          <w:b/>
          <w:sz w:val="24"/>
          <w:szCs w:val="24"/>
        </w:rPr>
        <w:t>я</w:t>
      </w:r>
      <w:r w:rsidR="008B549F" w:rsidRPr="00737C20">
        <w:rPr>
          <w:rFonts w:ascii="Times New Roman" w:hAnsi="Times New Roman" w:cs="Times New Roman"/>
          <w:b/>
          <w:sz w:val="24"/>
          <w:szCs w:val="24"/>
        </w:rPr>
        <w:t xml:space="preserve"> </w:t>
      </w:r>
      <w:r>
        <w:rPr>
          <w:rFonts w:ascii="Times New Roman" w:hAnsi="Times New Roman" w:cs="Times New Roman"/>
          <w:b/>
          <w:sz w:val="24"/>
          <w:szCs w:val="24"/>
        </w:rPr>
        <w:t xml:space="preserve">о наличии </w:t>
      </w:r>
      <w:r w:rsidR="002A48D4">
        <w:rPr>
          <w:rFonts w:ascii="Times New Roman" w:hAnsi="Times New Roman" w:cs="Times New Roman"/>
          <w:b/>
          <w:sz w:val="24"/>
          <w:szCs w:val="24"/>
        </w:rPr>
        <w:t>в</w:t>
      </w:r>
      <w:r>
        <w:rPr>
          <w:rFonts w:ascii="Times New Roman" w:hAnsi="Times New Roman" w:cs="Times New Roman"/>
          <w:b/>
          <w:sz w:val="24"/>
          <w:szCs w:val="24"/>
        </w:rPr>
        <w:t xml:space="preserve"> страна</w:t>
      </w:r>
      <w:r w:rsidR="002A48D4">
        <w:rPr>
          <w:rFonts w:ascii="Times New Roman" w:hAnsi="Times New Roman" w:cs="Times New Roman"/>
          <w:b/>
          <w:sz w:val="24"/>
          <w:szCs w:val="24"/>
        </w:rPr>
        <w:t>х</w:t>
      </w:r>
      <w:r>
        <w:rPr>
          <w:rFonts w:ascii="Times New Roman" w:hAnsi="Times New Roman" w:cs="Times New Roman"/>
          <w:b/>
          <w:sz w:val="24"/>
          <w:szCs w:val="24"/>
        </w:rPr>
        <w:t xml:space="preserve"> Азии законодательно установленных требований </w:t>
      </w:r>
      <w:r w:rsidR="008B549F" w:rsidRPr="00737C20">
        <w:rPr>
          <w:rFonts w:ascii="Times New Roman" w:hAnsi="Times New Roman" w:cs="Times New Roman"/>
          <w:b/>
          <w:sz w:val="24"/>
          <w:szCs w:val="24"/>
        </w:rPr>
        <w:t>об обязательности аудита</w:t>
      </w:r>
      <w:r w:rsidR="008B549F" w:rsidRPr="00737C20">
        <w:rPr>
          <w:rFonts w:ascii="Times New Roman" w:hAnsi="Times New Roman" w:cs="Times New Roman"/>
          <w:sz w:val="24"/>
          <w:szCs w:val="24"/>
        </w:rPr>
        <w:t xml:space="preserve"> нефинансовой отчетности</w:t>
      </w:r>
      <w:r>
        <w:rPr>
          <w:rFonts w:ascii="Times New Roman" w:hAnsi="Times New Roman" w:cs="Times New Roman"/>
          <w:sz w:val="24"/>
          <w:szCs w:val="24"/>
        </w:rPr>
        <w:t>.</w:t>
      </w:r>
      <w:r w:rsidR="008B549F" w:rsidRPr="00737C20">
        <w:rPr>
          <w:rFonts w:ascii="Times New Roman" w:hAnsi="Times New Roman" w:cs="Times New Roman"/>
          <w:sz w:val="24"/>
          <w:szCs w:val="24"/>
        </w:rPr>
        <w:t xml:space="preserve"> </w:t>
      </w:r>
      <w:r>
        <w:rPr>
          <w:rFonts w:ascii="Times New Roman" w:hAnsi="Times New Roman" w:cs="Times New Roman"/>
          <w:sz w:val="24"/>
          <w:szCs w:val="24"/>
        </w:rPr>
        <w:t>Н</w:t>
      </w:r>
      <w:r w:rsidR="008B549F" w:rsidRPr="00737C20">
        <w:rPr>
          <w:rFonts w:ascii="Times New Roman" w:hAnsi="Times New Roman" w:cs="Times New Roman"/>
          <w:sz w:val="24"/>
          <w:szCs w:val="24"/>
        </w:rPr>
        <w:t xml:space="preserve">а графике отражен процент компаний, которые проходят заверение нефинансовой отчетности на добровольной основе. </w:t>
      </w:r>
    </w:p>
    <w:p w14:paraId="55FFB93A" w14:textId="77777777" w:rsidR="008B549F" w:rsidRPr="00737C20" w:rsidRDefault="008B549F" w:rsidP="008B549F">
      <w:pPr>
        <w:jc w:val="center"/>
        <w:rPr>
          <w:rFonts w:ascii="Times New Roman" w:hAnsi="Times New Roman" w:cs="Times New Roman"/>
          <w:sz w:val="24"/>
          <w:szCs w:val="24"/>
        </w:rPr>
      </w:pPr>
      <w:r w:rsidRPr="00737C20">
        <w:rPr>
          <w:rFonts w:ascii="Times New Roman" w:hAnsi="Times New Roman" w:cs="Times New Roman"/>
          <w:noProof/>
          <w:sz w:val="24"/>
          <w:szCs w:val="24"/>
          <w:lang w:eastAsia="ru-RU"/>
        </w:rPr>
        <w:drawing>
          <wp:inline distT="0" distB="0" distL="0" distR="0" wp14:anchorId="030C217C" wp14:editId="5F97CA17">
            <wp:extent cx="5784522" cy="4075877"/>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0302" cy="4086996"/>
                    </a:xfrm>
                    <a:prstGeom prst="rect">
                      <a:avLst/>
                    </a:prstGeom>
                  </pic:spPr>
                </pic:pic>
              </a:graphicData>
            </a:graphic>
          </wp:inline>
        </w:drawing>
      </w:r>
    </w:p>
    <w:p w14:paraId="5CCA14F7" w14:textId="77777777" w:rsidR="00626B12" w:rsidRDefault="00626B12" w:rsidP="00626B12">
      <w:pPr>
        <w:jc w:val="center"/>
        <w:rPr>
          <w:rStyle w:val="aa"/>
          <w:rFonts w:ascii="Times New Roman" w:hAnsi="Times New Roman" w:cs="Times New Roman"/>
          <w:i/>
          <w:iCs/>
          <w:sz w:val="24"/>
          <w:szCs w:val="24"/>
        </w:rPr>
      </w:pPr>
      <w:r w:rsidRPr="00737C20">
        <w:rPr>
          <w:rFonts w:ascii="Times New Roman" w:hAnsi="Times New Roman" w:cs="Times New Roman"/>
          <w:i/>
          <w:iCs/>
          <w:sz w:val="24"/>
          <w:szCs w:val="24"/>
        </w:rPr>
        <w:t>Источник:</w:t>
      </w:r>
      <w:r>
        <w:rPr>
          <w:rFonts w:ascii="Times New Roman" w:hAnsi="Times New Roman" w:cs="Times New Roman"/>
          <w:i/>
          <w:iCs/>
          <w:sz w:val="24"/>
          <w:szCs w:val="24"/>
        </w:rPr>
        <w:t xml:space="preserve"> составлено на основе информации </w:t>
      </w:r>
      <w:r w:rsidRPr="00FB5EA3">
        <w:rPr>
          <w:rFonts w:ascii="Times New Roman" w:hAnsi="Times New Roman" w:cs="Times New Roman"/>
          <w:i/>
          <w:iCs/>
          <w:sz w:val="24"/>
          <w:szCs w:val="24"/>
        </w:rPr>
        <w:t>Школ</w:t>
      </w:r>
      <w:r>
        <w:rPr>
          <w:rFonts w:ascii="Times New Roman" w:hAnsi="Times New Roman" w:cs="Times New Roman"/>
          <w:i/>
          <w:iCs/>
          <w:sz w:val="24"/>
          <w:szCs w:val="24"/>
        </w:rPr>
        <w:t>ы</w:t>
      </w:r>
      <w:r w:rsidRPr="00FB5EA3">
        <w:rPr>
          <w:rFonts w:ascii="Times New Roman" w:hAnsi="Times New Roman" w:cs="Times New Roman"/>
          <w:i/>
          <w:iCs/>
          <w:sz w:val="24"/>
          <w:szCs w:val="24"/>
        </w:rPr>
        <w:t xml:space="preserve"> бизнеса в Сингапур</w:t>
      </w:r>
      <w:r>
        <w:rPr>
          <w:rFonts w:ascii="Times New Roman" w:hAnsi="Times New Roman" w:cs="Times New Roman"/>
          <w:i/>
          <w:iCs/>
          <w:sz w:val="24"/>
          <w:szCs w:val="24"/>
        </w:rPr>
        <w:t>е</w:t>
      </w:r>
      <w:bookmarkStart w:id="10" w:name="_Ref122203696"/>
      <w:r>
        <w:rPr>
          <w:rStyle w:val="af2"/>
          <w:rFonts w:ascii="Times New Roman" w:hAnsi="Times New Roman" w:cs="Times New Roman"/>
          <w:i/>
          <w:iCs/>
          <w:sz w:val="24"/>
          <w:szCs w:val="24"/>
        </w:rPr>
        <w:footnoteReference w:id="5"/>
      </w:r>
      <w:bookmarkEnd w:id="10"/>
    </w:p>
    <w:p w14:paraId="4F933679" w14:textId="77777777" w:rsidR="00626B12" w:rsidRPr="00737C20" w:rsidRDefault="00626B12" w:rsidP="00626B12">
      <w:pPr>
        <w:jc w:val="center"/>
        <w:rPr>
          <w:rFonts w:ascii="Times New Roman" w:hAnsi="Times New Roman" w:cs="Times New Roman"/>
          <w:i/>
          <w:iCs/>
          <w:sz w:val="24"/>
          <w:szCs w:val="24"/>
        </w:rPr>
      </w:pPr>
      <w:r>
        <w:rPr>
          <w:rFonts w:ascii="Times New Roman" w:hAnsi="Times New Roman" w:cs="Times New Roman"/>
          <w:sz w:val="24"/>
          <w:szCs w:val="24"/>
        </w:rPr>
        <w:t xml:space="preserve">Рисунок 2 - Доля </w:t>
      </w:r>
      <w:r w:rsidRPr="00737C20">
        <w:rPr>
          <w:rFonts w:ascii="Times New Roman" w:hAnsi="Times New Roman" w:cs="Times New Roman"/>
          <w:sz w:val="24"/>
          <w:szCs w:val="24"/>
        </w:rPr>
        <w:t>компаний, которые проходят заверение нефинансовой отчетности на добровольной основ</w:t>
      </w:r>
    </w:p>
    <w:p w14:paraId="7C0768E2" w14:textId="77777777" w:rsidR="008B549F" w:rsidRPr="00737C20" w:rsidRDefault="008B549F" w:rsidP="008B549F">
      <w:pPr>
        <w:spacing w:after="0" w:line="240" w:lineRule="auto"/>
        <w:rPr>
          <w:rFonts w:ascii="Times New Roman" w:hAnsi="Times New Roman" w:cs="Times New Roman"/>
          <w:iCs/>
          <w:sz w:val="24"/>
          <w:szCs w:val="24"/>
        </w:rPr>
      </w:pPr>
      <w:r w:rsidRPr="00737C20">
        <w:rPr>
          <w:rFonts w:ascii="Times New Roman" w:hAnsi="Times New Roman" w:cs="Times New Roman"/>
          <w:iCs/>
          <w:sz w:val="24"/>
          <w:szCs w:val="24"/>
        </w:rPr>
        <w:br w:type="page"/>
      </w:r>
    </w:p>
    <w:p w14:paraId="434FA3E8" w14:textId="77777777" w:rsidR="008B549F" w:rsidRPr="00737C20" w:rsidRDefault="008B549F" w:rsidP="008B549F">
      <w:pPr>
        <w:jc w:val="both"/>
        <w:rPr>
          <w:rFonts w:ascii="Times New Roman" w:hAnsi="Times New Roman" w:cs="Times New Roman"/>
          <w:b/>
          <w:bCs/>
          <w:iCs/>
          <w:sz w:val="24"/>
          <w:szCs w:val="24"/>
        </w:rPr>
      </w:pPr>
      <w:r w:rsidRPr="00737C20">
        <w:rPr>
          <w:rFonts w:ascii="Times New Roman" w:hAnsi="Times New Roman" w:cs="Times New Roman"/>
          <w:b/>
          <w:bCs/>
          <w:iCs/>
          <w:sz w:val="24"/>
          <w:szCs w:val="24"/>
        </w:rPr>
        <w:t>Процент заверения нефинансовой информации по миру за 2019 и 2020 гг.</w:t>
      </w:r>
    </w:p>
    <w:p w14:paraId="614FD438" w14:textId="77777777" w:rsidR="008B549F" w:rsidRPr="00737C20" w:rsidRDefault="008B549F" w:rsidP="008B549F">
      <w:pPr>
        <w:spacing w:after="0" w:line="240" w:lineRule="auto"/>
        <w:rPr>
          <w:rFonts w:ascii="Times New Roman" w:hAnsi="Times New Roman" w:cs="Times New Roman"/>
          <w:iCs/>
          <w:sz w:val="24"/>
          <w:szCs w:val="24"/>
        </w:rPr>
      </w:pPr>
      <w:r w:rsidRPr="00737C20">
        <w:rPr>
          <w:rFonts w:ascii="Times New Roman" w:hAnsi="Times New Roman" w:cs="Times New Roman"/>
          <w:noProof/>
          <w:sz w:val="24"/>
          <w:szCs w:val="24"/>
          <w:lang w:eastAsia="ru-RU"/>
        </w:rPr>
        <w:drawing>
          <wp:inline distT="0" distB="0" distL="0" distR="0" wp14:anchorId="11F71885" wp14:editId="536D09E6">
            <wp:extent cx="5867761" cy="2920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71629" cy="2922290"/>
                    </a:xfrm>
                    <a:prstGeom prst="rect">
                      <a:avLst/>
                    </a:prstGeom>
                  </pic:spPr>
                </pic:pic>
              </a:graphicData>
            </a:graphic>
          </wp:inline>
        </w:drawing>
      </w:r>
    </w:p>
    <w:p w14:paraId="613399EF" w14:textId="77777777" w:rsidR="00626B12" w:rsidRPr="00737C20" w:rsidRDefault="00626B12" w:rsidP="00626B12">
      <w:pPr>
        <w:spacing w:after="40" w:line="240" w:lineRule="auto"/>
        <w:jc w:val="center"/>
        <w:rPr>
          <w:rFonts w:ascii="Times New Roman" w:hAnsi="Times New Roman" w:cs="Times New Roman"/>
          <w:i/>
          <w:sz w:val="24"/>
          <w:szCs w:val="24"/>
        </w:rPr>
      </w:pPr>
      <w:r w:rsidRPr="00737C20">
        <w:rPr>
          <w:rFonts w:ascii="Times New Roman" w:hAnsi="Times New Roman" w:cs="Times New Roman"/>
          <w:i/>
          <w:sz w:val="24"/>
          <w:szCs w:val="24"/>
        </w:rPr>
        <w:t>Источник:</w:t>
      </w:r>
      <w:r w:rsidRPr="009D3F31">
        <w:rPr>
          <w:rFonts w:ascii="Times New Roman" w:hAnsi="Times New Roman" w:cs="Times New Roman"/>
          <w:i/>
          <w:sz w:val="24"/>
          <w:szCs w:val="24"/>
        </w:rPr>
        <w:t xml:space="preserve"> </w:t>
      </w:r>
      <w:r>
        <w:rPr>
          <w:rFonts w:ascii="Times New Roman" w:hAnsi="Times New Roman" w:cs="Times New Roman"/>
          <w:i/>
          <w:sz w:val="24"/>
          <w:szCs w:val="24"/>
        </w:rPr>
        <w:t>разработано на основе информации Международной федерации бухгалтеров</w:t>
      </w:r>
      <w:r>
        <w:rPr>
          <w:rStyle w:val="af2"/>
          <w:rFonts w:ascii="Times New Roman" w:hAnsi="Times New Roman" w:cs="Times New Roman"/>
          <w:i/>
          <w:sz w:val="24"/>
          <w:szCs w:val="24"/>
        </w:rPr>
        <w:footnoteReference w:id="6"/>
      </w:r>
    </w:p>
    <w:p w14:paraId="13A5418A" w14:textId="77777777" w:rsidR="00626B12" w:rsidRPr="00737C20" w:rsidRDefault="00626B12" w:rsidP="00626B12">
      <w:pPr>
        <w:spacing w:after="40" w:line="240" w:lineRule="auto"/>
        <w:jc w:val="center"/>
        <w:rPr>
          <w:rFonts w:ascii="Times New Roman" w:hAnsi="Times New Roman" w:cs="Times New Roman"/>
          <w:i/>
          <w:iCs/>
          <w:sz w:val="24"/>
          <w:szCs w:val="24"/>
        </w:rPr>
      </w:pPr>
      <w:r w:rsidRPr="00766A6C">
        <w:rPr>
          <w:rFonts w:ascii="Times New Roman" w:hAnsi="Times New Roman" w:cs="Times New Roman"/>
          <w:sz w:val="24"/>
          <w:szCs w:val="24"/>
        </w:rPr>
        <w:t xml:space="preserve">Рисунок 2 - Доля </w:t>
      </w:r>
      <w:r w:rsidRPr="00766A6C">
        <w:rPr>
          <w:rFonts w:ascii="Times New Roman" w:hAnsi="Times New Roman" w:cs="Times New Roman"/>
          <w:bCs/>
          <w:iCs/>
          <w:sz w:val="24"/>
          <w:szCs w:val="24"/>
        </w:rPr>
        <w:t xml:space="preserve">заверения нефинансовой информации </w:t>
      </w:r>
      <w:r w:rsidRPr="00766A6C">
        <w:rPr>
          <w:rFonts w:ascii="Times New Roman" w:hAnsi="Times New Roman" w:cs="Times New Roman"/>
          <w:sz w:val="24"/>
          <w:szCs w:val="24"/>
        </w:rPr>
        <w:t xml:space="preserve">компаний </w:t>
      </w:r>
      <w:r w:rsidRPr="00766A6C">
        <w:rPr>
          <w:rFonts w:ascii="Times New Roman" w:hAnsi="Times New Roman" w:cs="Times New Roman"/>
          <w:bCs/>
          <w:iCs/>
          <w:sz w:val="24"/>
          <w:szCs w:val="24"/>
        </w:rPr>
        <w:t>за 2019 и 2020 гг. в</w:t>
      </w:r>
    </w:p>
    <w:p w14:paraId="5E5F0C32" w14:textId="77777777" w:rsidR="00626B12" w:rsidRDefault="00626B12" w:rsidP="00E00953">
      <w:pPr>
        <w:pStyle w:val="af3"/>
        <w:rPr>
          <w:b/>
          <w:i w:val="0"/>
          <w:color w:val="auto"/>
        </w:rPr>
      </w:pPr>
    </w:p>
    <w:p w14:paraId="1FAECE87" w14:textId="03F16291" w:rsidR="00CC35F2" w:rsidRPr="00E00953" w:rsidRDefault="00CC35F2" w:rsidP="00E00953">
      <w:pPr>
        <w:pStyle w:val="af3"/>
        <w:rPr>
          <w:b/>
          <w:i w:val="0"/>
          <w:color w:val="auto"/>
          <w:shd w:val="clear" w:color="auto" w:fill="FFFFFF"/>
        </w:rPr>
      </w:pPr>
      <w:r w:rsidRPr="00E00953">
        <w:rPr>
          <w:b/>
          <w:i w:val="0"/>
          <w:color w:val="auto"/>
        </w:rPr>
        <w:t xml:space="preserve">Инициатива ООН по борьбе с </w:t>
      </w:r>
      <w:proofErr w:type="spellStart"/>
      <w:r w:rsidRPr="00E00953">
        <w:rPr>
          <w:b/>
          <w:i w:val="0"/>
          <w:color w:val="auto"/>
        </w:rPr>
        <w:t>гринвошингом</w:t>
      </w:r>
      <w:proofErr w:type="spellEnd"/>
      <w:r w:rsidRPr="00E00953">
        <w:rPr>
          <w:b/>
          <w:i w:val="0"/>
          <w:color w:val="auto"/>
          <w:shd w:val="clear" w:color="auto" w:fill="FFFFFF"/>
        </w:rPr>
        <w:t xml:space="preserve"> </w:t>
      </w:r>
    </w:p>
    <w:p w14:paraId="1035DAC7" w14:textId="5225285C" w:rsidR="00CC35F2" w:rsidRPr="00737C20" w:rsidRDefault="00CC35F2" w:rsidP="00E00953">
      <w:pPr>
        <w:spacing w:line="240" w:lineRule="auto"/>
        <w:ind w:firstLine="708"/>
        <w:jc w:val="both"/>
        <w:rPr>
          <w:rFonts w:ascii="Times New Roman" w:hAnsi="Times New Roman" w:cs="Times New Roman"/>
          <w:color w:val="000000"/>
          <w:sz w:val="24"/>
          <w:szCs w:val="24"/>
          <w:shd w:val="clear" w:color="auto" w:fill="FFFFFF"/>
        </w:rPr>
      </w:pPr>
      <w:r w:rsidRPr="00737C20">
        <w:rPr>
          <w:rFonts w:ascii="Times New Roman" w:hAnsi="Times New Roman" w:cs="Times New Roman"/>
          <w:color w:val="000000"/>
          <w:sz w:val="24"/>
          <w:szCs w:val="24"/>
          <w:shd w:val="clear" w:color="auto" w:fill="FFFFFF"/>
        </w:rPr>
        <w:t xml:space="preserve">На фоне повышения популярности повестки устойчивого развития неизбежно появляется практика </w:t>
      </w:r>
      <w:r w:rsidR="00626B12" w:rsidRPr="00737C20">
        <w:rPr>
          <w:rFonts w:ascii="Times New Roman" w:hAnsi="Times New Roman" w:cs="Times New Roman"/>
          <w:color w:val="000000"/>
          <w:sz w:val="24"/>
          <w:szCs w:val="24"/>
          <w:shd w:val="clear" w:color="auto" w:fill="FFFFFF"/>
        </w:rPr>
        <w:t>гринвошинга</w:t>
      </w:r>
      <w:r w:rsidR="00626B12" w:rsidRPr="00737C20">
        <w:rPr>
          <w:rStyle w:val="af2"/>
          <w:rFonts w:ascii="Times New Roman" w:hAnsi="Times New Roman" w:cs="Times New Roman"/>
          <w:color w:val="000000"/>
          <w:sz w:val="24"/>
          <w:szCs w:val="24"/>
          <w:shd w:val="clear" w:color="auto" w:fill="FFFFFF"/>
        </w:rPr>
        <w:footnoteReference w:id="7"/>
      </w:r>
      <w:r w:rsidR="00626B12" w:rsidRPr="00737C20">
        <w:rPr>
          <w:rFonts w:ascii="Times New Roman" w:hAnsi="Times New Roman" w:cs="Times New Roman"/>
          <w:color w:val="000000"/>
          <w:sz w:val="24"/>
          <w:szCs w:val="24"/>
          <w:shd w:val="clear" w:color="auto" w:fill="FFFFFF"/>
        </w:rPr>
        <w:t xml:space="preserve">. </w:t>
      </w:r>
      <w:r w:rsidRPr="00737C20">
        <w:rPr>
          <w:rFonts w:ascii="Times New Roman" w:hAnsi="Times New Roman" w:cs="Times New Roman"/>
          <w:color w:val="000000"/>
          <w:sz w:val="24"/>
          <w:szCs w:val="24"/>
          <w:shd w:val="clear" w:color="auto" w:fill="FFFFFF"/>
        </w:rPr>
        <w:t xml:space="preserve">Есть компании, которые используют устойчивое развитие как своеобразный маркетинговой ход, при котором озвучиваются цели, но реальных действий не происходит. Однако рынок становится более образованным в оценке отчетов об устойчивом развитии компаний, а заинтересованные стороны настаивают на детальном раскрытии нефинансовой информации (например, с помощью независимых аудиторов). </w:t>
      </w:r>
    </w:p>
    <w:p w14:paraId="7D16AD93" w14:textId="7E02F1FC" w:rsidR="009664E4" w:rsidRPr="00737C20" w:rsidRDefault="009664E4" w:rsidP="00E945B7">
      <w:pPr>
        <w:spacing w:line="240" w:lineRule="auto"/>
        <w:ind w:firstLine="708"/>
        <w:jc w:val="both"/>
        <w:rPr>
          <w:rFonts w:ascii="Times New Roman" w:hAnsi="Times New Roman" w:cs="Times New Roman"/>
          <w:color w:val="000000"/>
          <w:sz w:val="24"/>
          <w:szCs w:val="24"/>
        </w:rPr>
      </w:pPr>
      <w:r w:rsidRPr="00737C20">
        <w:rPr>
          <w:rFonts w:ascii="Times New Roman" w:hAnsi="Times New Roman" w:cs="Times New Roman"/>
          <w:color w:val="000000"/>
          <w:sz w:val="24"/>
          <w:szCs w:val="24"/>
          <w:shd w:val="clear" w:color="auto" w:fill="FFFFFF"/>
        </w:rPr>
        <w:t>В марте</w:t>
      </w:r>
      <w:r w:rsidR="00CC35F2" w:rsidRPr="00737C20">
        <w:rPr>
          <w:rFonts w:ascii="Times New Roman" w:hAnsi="Times New Roman" w:cs="Times New Roman"/>
          <w:color w:val="000000"/>
          <w:sz w:val="24"/>
          <w:szCs w:val="24"/>
          <w:shd w:val="clear" w:color="auto" w:fill="FFFFFF"/>
        </w:rPr>
        <w:t xml:space="preserve"> 2022 г. ООН объявила о создании целевой </w:t>
      </w:r>
      <w:r w:rsidRPr="00737C20">
        <w:rPr>
          <w:rFonts w:ascii="Times New Roman" w:hAnsi="Times New Roman" w:cs="Times New Roman"/>
          <w:color w:val="000000"/>
          <w:sz w:val="24"/>
          <w:szCs w:val="24"/>
          <w:shd w:val="clear" w:color="auto" w:fill="FFFFFF"/>
        </w:rPr>
        <w:t>«Г</w:t>
      </w:r>
      <w:r w:rsidR="00CC35F2" w:rsidRPr="00737C20">
        <w:rPr>
          <w:rFonts w:ascii="Times New Roman" w:hAnsi="Times New Roman" w:cs="Times New Roman"/>
          <w:color w:val="000000"/>
          <w:sz w:val="24"/>
          <w:szCs w:val="24"/>
          <w:shd w:val="clear" w:color="auto" w:fill="FFFFFF"/>
        </w:rPr>
        <w:t xml:space="preserve">руппы </w:t>
      </w:r>
      <w:r w:rsidRPr="00737C20">
        <w:rPr>
          <w:rFonts w:ascii="Times New Roman" w:hAnsi="Times New Roman" w:cs="Times New Roman"/>
          <w:color w:val="000000"/>
          <w:sz w:val="24"/>
          <w:szCs w:val="24"/>
          <w:shd w:val="clear" w:color="auto" w:fill="FFFFFF"/>
        </w:rPr>
        <w:t xml:space="preserve">экспертов </w:t>
      </w:r>
      <w:r w:rsidR="00CC35F2" w:rsidRPr="00737C20">
        <w:rPr>
          <w:rFonts w:ascii="Times New Roman" w:hAnsi="Times New Roman" w:cs="Times New Roman"/>
          <w:color w:val="000000"/>
          <w:sz w:val="24"/>
          <w:szCs w:val="24"/>
          <w:shd w:val="clear" w:color="auto" w:fill="FFFFFF"/>
        </w:rPr>
        <w:t>высокого уровня по обязательствам негосударственных организаций по достижению нулевых выбросов</w:t>
      </w:r>
      <w:r w:rsidRPr="00737C20">
        <w:rPr>
          <w:rFonts w:ascii="Times New Roman" w:hAnsi="Times New Roman" w:cs="Times New Roman"/>
          <w:color w:val="000000"/>
          <w:sz w:val="24"/>
          <w:szCs w:val="24"/>
          <w:shd w:val="clear" w:color="auto" w:fill="FFFFFF"/>
        </w:rPr>
        <w:t>»</w:t>
      </w:r>
      <w:r w:rsidR="00CC35F2" w:rsidRPr="00737C20">
        <w:rPr>
          <w:rFonts w:ascii="Times New Roman" w:hAnsi="Times New Roman" w:cs="Times New Roman"/>
          <w:color w:val="000000"/>
          <w:sz w:val="24"/>
          <w:szCs w:val="24"/>
          <w:shd w:val="clear" w:color="auto" w:fill="FFFFFF"/>
        </w:rPr>
        <w:t xml:space="preserve">. Она разработает соответствующие стандарты и постарается включить их в международные правила. ООН считает, что корпоративные обязательства, так же, как и обещания инвесторов, городов и регионов о достижении нулевого уровня выбросов парниковых газов, будут иметь жизненно важное значение для достижения глобальной климатической цели. При этом </w:t>
      </w:r>
      <w:r w:rsidR="00E945B7" w:rsidRPr="00737C20">
        <w:rPr>
          <w:rFonts w:ascii="Times New Roman" w:hAnsi="Times New Roman" w:cs="Times New Roman"/>
          <w:color w:val="000000"/>
          <w:sz w:val="24"/>
          <w:szCs w:val="24"/>
          <w:shd w:val="clear" w:color="auto" w:fill="FFFFFF"/>
        </w:rPr>
        <w:t xml:space="preserve">из-за отсутствия общих стандартов для оценки достоверности обязательств по сокращению выбросов углерода и обеспечения их соблюдения </w:t>
      </w:r>
      <w:r w:rsidR="00CC35F2" w:rsidRPr="00737C20">
        <w:rPr>
          <w:rFonts w:ascii="Times New Roman" w:hAnsi="Times New Roman" w:cs="Times New Roman"/>
          <w:color w:val="000000"/>
          <w:sz w:val="24"/>
          <w:szCs w:val="24"/>
          <w:shd w:val="clear" w:color="auto" w:fill="FFFFFF"/>
        </w:rPr>
        <w:t>среди компаний ра</w:t>
      </w:r>
      <w:r w:rsidRPr="00737C20">
        <w:rPr>
          <w:rFonts w:ascii="Times New Roman" w:hAnsi="Times New Roman" w:cs="Times New Roman"/>
          <w:color w:val="000000"/>
          <w:sz w:val="24"/>
          <w:szCs w:val="24"/>
          <w:shd w:val="clear" w:color="auto" w:fill="FFFFFF"/>
        </w:rPr>
        <w:t>стет тенденция гринвошинга</w:t>
      </w:r>
      <w:r w:rsidR="00CC35F2" w:rsidRPr="00737C20">
        <w:rPr>
          <w:rFonts w:ascii="Times New Roman" w:hAnsi="Times New Roman" w:cs="Times New Roman"/>
          <w:color w:val="000000"/>
          <w:sz w:val="24"/>
          <w:szCs w:val="24"/>
          <w:shd w:val="clear" w:color="auto" w:fill="FFFFFF"/>
        </w:rPr>
        <w:t>, то есть провозглашения климатических обязательств и одновременного принятия мер, которые противоречат</w:t>
      </w:r>
      <w:r w:rsidRPr="00737C20">
        <w:rPr>
          <w:rFonts w:ascii="Times New Roman" w:hAnsi="Times New Roman" w:cs="Times New Roman"/>
          <w:color w:val="000000"/>
          <w:sz w:val="24"/>
          <w:szCs w:val="24"/>
          <w:shd w:val="clear" w:color="auto" w:fill="FFFFFF"/>
        </w:rPr>
        <w:t xml:space="preserve"> этим целям. </w:t>
      </w:r>
      <w:r w:rsidRPr="00737C20">
        <w:rPr>
          <w:rFonts w:ascii="Times New Roman" w:hAnsi="Times New Roman" w:cs="Times New Roman"/>
          <w:color w:val="000000"/>
          <w:sz w:val="24"/>
          <w:szCs w:val="24"/>
        </w:rPr>
        <w:t>«Группа экспертов высокого уровня по обязательствам негосударственных организаций по нулевым выбросам» разработает рекомендации по четырем направлениям:</w:t>
      </w:r>
    </w:p>
    <w:p w14:paraId="6A0DE3D3" w14:textId="78BAA622" w:rsidR="009664E4" w:rsidRPr="00737C20" w:rsidRDefault="009664E4" w:rsidP="00645C75">
      <w:pPr>
        <w:pStyle w:val="box-paragraphtext"/>
        <w:shd w:val="clear" w:color="auto" w:fill="FFFFFF"/>
        <w:spacing w:before="225" w:beforeAutospacing="0" w:after="0" w:afterAutospacing="0"/>
        <w:ind w:left="851" w:hanging="284"/>
        <w:rPr>
          <w:color w:val="000000"/>
        </w:rPr>
      </w:pPr>
      <w:r w:rsidRPr="00737C20">
        <w:rPr>
          <w:color w:val="000000"/>
        </w:rPr>
        <w:t>1.  </w:t>
      </w:r>
      <w:r w:rsidR="001319A9">
        <w:rPr>
          <w:color w:val="000000"/>
        </w:rPr>
        <w:t>с</w:t>
      </w:r>
      <w:r w:rsidRPr="00737C20">
        <w:rPr>
          <w:color w:val="000000"/>
        </w:rPr>
        <w:t>тандарты и определения для установления целевых нулевых показателей негосударственными субъектами;</w:t>
      </w:r>
    </w:p>
    <w:p w14:paraId="31EA0692" w14:textId="1FED3632" w:rsidR="009664E4" w:rsidRPr="00737C20" w:rsidRDefault="009664E4" w:rsidP="00645C75">
      <w:pPr>
        <w:pStyle w:val="box-paragraphtext"/>
        <w:shd w:val="clear" w:color="auto" w:fill="FFFFFF"/>
        <w:spacing w:before="225" w:beforeAutospacing="0" w:after="0" w:afterAutospacing="0"/>
        <w:ind w:left="851" w:hanging="284"/>
        <w:rPr>
          <w:color w:val="000000"/>
        </w:rPr>
      </w:pPr>
      <w:r w:rsidRPr="00737C20">
        <w:rPr>
          <w:color w:val="000000"/>
        </w:rPr>
        <w:t>2.  </w:t>
      </w:r>
      <w:r w:rsidR="001319A9">
        <w:rPr>
          <w:color w:val="000000"/>
        </w:rPr>
        <w:t>к</w:t>
      </w:r>
      <w:r w:rsidRPr="00737C20">
        <w:rPr>
          <w:color w:val="000000"/>
        </w:rPr>
        <w:t>ритерии оценки целей, измерения и отчетности по обязательствам;</w:t>
      </w:r>
    </w:p>
    <w:p w14:paraId="7A0ADE9C" w14:textId="6C2655B3" w:rsidR="009664E4" w:rsidRPr="00737C20" w:rsidRDefault="009664E4" w:rsidP="00645C75">
      <w:pPr>
        <w:pStyle w:val="box-paragraphtext"/>
        <w:shd w:val="clear" w:color="auto" w:fill="FFFFFF"/>
        <w:spacing w:before="225" w:beforeAutospacing="0" w:after="0" w:afterAutospacing="0"/>
        <w:ind w:left="851" w:hanging="284"/>
        <w:rPr>
          <w:color w:val="000000"/>
        </w:rPr>
      </w:pPr>
      <w:r w:rsidRPr="00737C20">
        <w:rPr>
          <w:color w:val="000000"/>
        </w:rPr>
        <w:t>3.  </w:t>
      </w:r>
      <w:r w:rsidR="001319A9">
        <w:rPr>
          <w:color w:val="000000"/>
        </w:rPr>
        <w:t>с</w:t>
      </w:r>
      <w:r w:rsidRPr="00737C20">
        <w:rPr>
          <w:color w:val="000000"/>
        </w:rPr>
        <w:t>пособы проверки и учета прогресса в достижении нулевых обязательств и планов декарбонизации;</w:t>
      </w:r>
    </w:p>
    <w:p w14:paraId="0E0B0322" w14:textId="7EBCE14E" w:rsidR="009664E4" w:rsidRPr="00737C20" w:rsidRDefault="009664E4" w:rsidP="00645C75">
      <w:pPr>
        <w:pStyle w:val="box-paragraphtext"/>
        <w:shd w:val="clear" w:color="auto" w:fill="FFFFFF"/>
        <w:spacing w:before="225" w:beforeAutospacing="0" w:after="0" w:afterAutospacing="0"/>
        <w:ind w:left="851" w:hanging="284"/>
        <w:rPr>
          <w:color w:val="000000"/>
        </w:rPr>
      </w:pPr>
      <w:r w:rsidRPr="00737C20">
        <w:rPr>
          <w:color w:val="000000"/>
        </w:rPr>
        <w:t>4.  </w:t>
      </w:r>
      <w:r w:rsidR="001319A9">
        <w:rPr>
          <w:color w:val="000000"/>
        </w:rPr>
        <w:t>с</w:t>
      </w:r>
      <w:r w:rsidRPr="00737C20">
        <w:rPr>
          <w:color w:val="000000"/>
        </w:rPr>
        <w:t>пособы преобразования этих стандартов и критериев в государственные постановления.</w:t>
      </w:r>
    </w:p>
    <w:p w14:paraId="5783D796" w14:textId="77777777" w:rsidR="009664E4" w:rsidRPr="00737C20" w:rsidRDefault="009664E4" w:rsidP="00645C75">
      <w:pPr>
        <w:pStyle w:val="box-paragraphtext"/>
        <w:shd w:val="clear" w:color="auto" w:fill="FFFFFF"/>
        <w:spacing w:before="225" w:beforeAutospacing="0" w:after="0" w:afterAutospacing="0"/>
        <w:ind w:left="567"/>
        <w:rPr>
          <w:color w:val="000000"/>
        </w:rPr>
      </w:pPr>
      <w:r w:rsidRPr="00737C20">
        <w:rPr>
          <w:color w:val="000000"/>
        </w:rPr>
        <w:t xml:space="preserve">Обсуждаются вопросы обязательной верификации информации о результатах климатических проектов профессиональными аудиторами. </w:t>
      </w:r>
    </w:p>
    <w:p w14:paraId="77F28415" w14:textId="66BB9FFD" w:rsidR="003A3ED8" w:rsidRPr="00737C20" w:rsidRDefault="003A3ED8" w:rsidP="000F67C2">
      <w:pPr>
        <w:pStyle w:val="1"/>
        <w:rPr>
          <w:rFonts w:ascii="Times New Roman" w:hAnsi="Times New Roman" w:cs="Times New Roman"/>
          <w:sz w:val="24"/>
          <w:szCs w:val="24"/>
        </w:rPr>
      </w:pPr>
      <w:bookmarkStart w:id="11" w:name="_Toc121937466"/>
      <w:bookmarkStart w:id="12" w:name="_Toc122443430"/>
      <w:r w:rsidRPr="00737C20">
        <w:rPr>
          <w:rFonts w:ascii="Times New Roman" w:hAnsi="Times New Roman" w:cs="Times New Roman"/>
          <w:sz w:val="24"/>
          <w:szCs w:val="24"/>
        </w:rPr>
        <w:t xml:space="preserve">Раздел 4. Выводы и предложения по </w:t>
      </w:r>
      <w:r w:rsidR="009664E4" w:rsidRPr="00737C20">
        <w:rPr>
          <w:rFonts w:ascii="Times New Roman" w:hAnsi="Times New Roman" w:cs="Times New Roman"/>
          <w:sz w:val="24"/>
          <w:szCs w:val="24"/>
        </w:rPr>
        <w:t>совершенствованию концептуальных основ осуществления аудиторской деятельности</w:t>
      </w:r>
      <w:bookmarkEnd w:id="11"/>
      <w:bookmarkEnd w:id="12"/>
    </w:p>
    <w:p w14:paraId="2DC21DBB" w14:textId="77777777" w:rsidR="003A3ED8" w:rsidRPr="00737C20" w:rsidRDefault="003A3ED8" w:rsidP="003A3ED8">
      <w:pPr>
        <w:spacing w:after="0" w:line="240" w:lineRule="auto"/>
        <w:ind w:firstLine="567"/>
        <w:jc w:val="both"/>
        <w:rPr>
          <w:rFonts w:ascii="Times New Roman" w:hAnsi="Times New Roman" w:cs="Times New Roman"/>
          <w:sz w:val="24"/>
          <w:szCs w:val="24"/>
        </w:rPr>
      </w:pPr>
    </w:p>
    <w:p w14:paraId="0AFB4B67" w14:textId="77777777" w:rsidR="00E26A19" w:rsidRPr="00737C20" w:rsidRDefault="009664E4" w:rsidP="00E945B7">
      <w:pPr>
        <w:spacing w:line="240" w:lineRule="auto"/>
        <w:ind w:firstLine="708"/>
        <w:jc w:val="both"/>
        <w:rPr>
          <w:rFonts w:ascii="Times New Roman" w:hAnsi="Times New Roman" w:cs="Times New Roman"/>
          <w:color w:val="000000"/>
          <w:sz w:val="24"/>
          <w:szCs w:val="24"/>
          <w:shd w:val="clear" w:color="auto" w:fill="FFFFFF"/>
        </w:rPr>
      </w:pPr>
      <w:r w:rsidRPr="00737C20">
        <w:rPr>
          <w:rFonts w:ascii="Times New Roman" w:hAnsi="Times New Roman" w:cs="Times New Roman"/>
          <w:color w:val="000000"/>
          <w:sz w:val="24"/>
          <w:szCs w:val="24"/>
          <w:shd w:val="clear" w:color="auto" w:fill="FFFFFF"/>
        </w:rPr>
        <w:t>Вышеприведенный а</w:t>
      </w:r>
      <w:r w:rsidR="003A3ED8" w:rsidRPr="00737C20">
        <w:rPr>
          <w:rFonts w:ascii="Times New Roman" w:hAnsi="Times New Roman" w:cs="Times New Roman"/>
          <w:color w:val="000000"/>
          <w:sz w:val="24"/>
          <w:szCs w:val="24"/>
          <w:shd w:val="clear" w:color="auto" w:fill="FFFFFF"/>
        </w:rPr>
        <w:t xml:space="preserve">нализ </w:t>
      </w:r>
      <w:r w:rsidR="00E26A19" w:rsidRPr="00737C20">
        <w:rPr>
          <w:rFonts w:ascii="Times New Roman" w:hAnsi="Times New Roman" w:cs="Times New Roman"/>
          <w:color w:val="000000"/>
          <w:sz w:val="24"/>
          <w:szCs w:val="24"/>
          <w:shd w:val="clear" w:color="auto" w:fill="FFFFFF"/>
        </w:rPr>
        <w:t xml:space="preserve">текущей ситуации с развитием нефинансовой отчетности в Российской Федерации, повышением требований заинтересованных сторон к прозрачности и достоверности информации, российской и международной практики продемонстрировал актуальность </w:t>
      </w:r>
      <w:r w:rsidR="00951BE2">
        <w:rPr>
          <w:rFonts w:ascii="Times New Roman" w:hAnsi="Times New Roman" w:cs="Times New Roman"/>
          <w:color w:val="000000"/>
          <w:sz w:val="24"/>
          <w:szCs w:val="24"/>
          <w:shd w:val="clear" w:color="auto" w:fill="FFFFFF"/>
        </w:rPr>
        <w:t xml:space="preserve">решения </w:t>
      </w:r>
      <w:r w:rsidR="00E26A19" w:rsidRPr="00737C20">
        <w:rPr>
          <w:rFonts w:ascii="Times New Roman" w:hAnsi="Times New Roman" w:cs="Times New Roman"/>
          <w:color w:val="000000"/>
          <w:sz w:val="24"/>
          <w:szCs w:val="24"/>
          <w:shd w:val="clear" w:color="auto" w:fill="FFFFFF"/>
        </w:rPr>
        <w:t xml:space="preserve">вопроса о верификации/заверения нефинансовой информации. </w:t>
      </w:r>
    </w:p>
    <w:p w14:paraId="6588784C" w14:textId="77777777" w:rsidR="00E26A19" w:rsidRPr="00737C20" w:rsidRDefault="00E26A19" w:rsidP="00E945B7">
      <w:pPr>
        <w:spacing w:line="240" w:lineRule="auto"/>
        <w:ind w:firstLine="708"/>
        <w:jc w:val="both"/>
        <w:rPr>
          <w:rFonts w:ascii="Times New Roman" w:hAnsi="Times New Roman" w:cs="Times New Roman"/>
          <w:sz w:val="24"/>
          <w:szCs w:val="24"/>
        </w:rPr>
      </w:pPr>
      <w:r w:rsidRPr="00737C20">
        <w:rPr>
          <w:rFonts w:ascii="Times New Roman" w:hAnsi="Times New Roman" w:cs="Times New Roman"/>
          <w:sz w:val="24"/>
          <w:szCs w:val="24"/>
        </w:rPr>
        <w:t xml:space="preserve">Считаем, что в целях повышения достоверности сведений, содержащихся в нефинансовой отчетности компаний, в частности, в отчетах об устойчивом развитии, отчетах о выбросах парниковых </w:t>
      </w:r>
      <w:r w:rsidR="00595324" w:rsidRPr="00737C20">
        <w:rPr>
          <w:rFonts w:ascii="Times New Roman" w:hAnsi="Times New Roman" w:cs="Times New Roman"/>
          <w:sz w:val="24"/>
          <w:szCs w:val="24"/>
        </w:rPr>
        <w:t xml:space="preserve">газов и прочей, </w:t>
      </w:r>
      <w:r w:rsidRPr="00737C20">
        <w:rPr>
          <w:rFonts w:ascii="Times New Roman" w:hAnsi="Times New Roman" w:cs="Times New Roman"/>
          <w:sz w:val="24"/>
          <w:szCs w:val="24"/>
        </w:rPr>
        <w:t xml:space="preserve">и улучшения качества отчетности право осуществления независимого заверения должно быть предоставлено исключительно </w:t>
      </w:r>
      <w:r w:rsidR="00595324" w:rsidRPr="00737C20">
        <w:rPr>
          <w:rFonts w:ascii="Times New Roman" w:hAnsi="Times New Roman" w:cs="Times New Roman"/>
          <w:sz w:val="24"/>
          <w:szCs w:val="24"/>
        </w:rPr>
        <w:t xml:space="preserve">профессиональным </w:t>
      </w:r>
      <w:r w:rsidRPr="00737C20">
        <w:rPr>
          <w:rFonts w:ascii="Times New Roman" w:hAnsi="Times New Roman" w:cs="Times New Roman"/>
          <w:sz w:val="24"/>
          <w:szCs w:val="24"/>
        </w:rPr>
        <w:t>аудитор</w:t>
      </w:r>
      <w:r w:rsidR="00595324" w:rsidRPr="00737C20">
        <w:rPr>
          <w:rFonts w:ascii="Times New Roman" w:hAnsi="Times New Roman" w:cs="Times New Roman"/>
          <w:sz w:val="24"/>
          <w:szCs w:val="24"/>
        </w:rPr>
        <w:t>ам</w:t>
      </w:r>
      <w:r w:rsidRPr="00737C20">
        <w:rPr>
          <w:rFonts w:ascii="Times New Roman" w:hAnsi="Times New Roman" w:cs="Times New Roman"/>
          <w:sz w:val="24"/>
          <w:szCs w:val="24"/>
        </w:rPr>
        <w:t xml:space="preserve">. </w:t>
      </w:r>
    </w:p>
    <w:p w14:paraId="3F7BD932" w14:textId="77777777" w:rsidR="00595324" w:rsidRPr="00737C20" w:rsidRDefault="00595324" w:rsidP="00E945B7">
      <w:pPr>
        <w:autoSpaceDE w:val="0"/>
        <w:autoSpaceDN w:val="0"/>
        <w:adjustRightInd w:val="0"/>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 xml:space="preserve">В соответствии с ч. 2 статьи 1 Федерального закона «Об аудиторской деятельности»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w:t>
      </w:r>
    </w:p>
    <w:p w14:paraId="0D4827FC" w14:textId="77777777" w:rsidR="00E945B7" w:rsidRDefault="00E945B7" w:rsidP="00E945B7">
      <w:pPr>
        <w:spacing w:after="0" w:line="240" w:lineRule="auto"/>
        <w:ind w:firstLine="709"/>
        <w:jc w:val="both"/>
        <w:rPr>
          <w:rFonts w:ascii="Times New Roman" w:hAnsi="Times New Roman" w:cs="Times New Roman"/>
          <w:sz w:val="24"/>
          <w:szCs w:val="24"/>
        </w:rPr>
      </w:pPr>
    </w:p>
    <w:p w14:paraId="2432B9B4" w14:textId="77777777" w:rsidR="00595324" w:rsidRPr="00737C20" w:rsidRDefault="00595324" w:rsidP="00E945B7">
      <w:pPr>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Для получения статуса аудиторской организация или индивидуального аудитора требуется обязательное членство соответственно коммерческой организаций или физического лица, получившего квалификационный аттестат аудитора, в саморегулируемой организации аудиторов (ч. 1 ст. 3 и ч. 1 ст. 4 Федерального закона «Об аудиторской деятельности).</w:t>
      </w:r>
    </w:p>
    <w:p w14:paraId="490AE8FC" w14:textId="77777777" w:rsidR="00E945B7" w:rsidRDefault="00E945B7" w:rsidP="00E945B7">
      <w:pPr>
        <w:autoSpaceDE w:val="0"/>
        <w:autoSpaceDN w:val="0"/>
        <w:adjustRightInd w:val="0"/>
        <w:spacing w:after="0" w:line="240" w:lineRule="auto"/>
        <w:ind w:firstLine="709"/>
        <w:jc w:val="both"/>
        <w:rPr>
          <w:rFonts w:ascii="Times New Roman" w:hAnsi="Times New Roman" w:cs="Times New Roman"/>
          <w:sz w:val="24"/>
          <w:szCs w:val="24"/>
        </w:rPr>
      </w:pPr>
    </w:p>
    <w:p w14:paraId="4298E709" w14:textId="77777777" w:rsidR="00595324" w:rsidRPr="00737C20" w:rsidRDefault="00595324" w:rsidP="00E945B7">
      <w:pPr>
        <w:autoSpaceDE w:val="0"/>
        <w:autoSpaceDN w:val="0"/>
        <w:adjustRightInd w:val="0"/>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Согласно ч. 4 ст. 1 Федерального закона «Об аудиторской деятельности» виды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7EE415CA" w14:textId="77777777" w:rsidR="00E945B7" w:rsidRDefault="00E945B7" w:rsidP="00E945B7">
      <w:pPr>
        <w:autoSpaceDE w:val="0"/>
        <w:autoSpaceDN w:val="0"/>
        <w:adjustRightInd w:val="0"/>
        <w:spacing w:after="0" w:line="240" w:lineRule="auto"/>
        <w:ind w:firstLine="709"/>
        <w:jc w:val="both"/>
        <w:rPr>
          <w:rFonts w:ascii="Times New Roman" w:hAnsi="Times New Roman" w:cs="Times New Roman"/>
          <w:sz w:val="24"/>
          <w:szCs w:val="24"/>
        </w:rPr>
      </w:pPr>
    </w:p>
    <w:p w14:paraId="0F24D834" w14:textId="77777777" w:rsidR="00595324" w:rsidRPr="00737C20" w:rsidRDefault="00595324" w:rsidP="00E945B7">
      <w:pPr>
        <w:autoSpaceDE w:val="0"/>
        <w:autoSpaceDN w:val="0"/>
        <w:adjustRightInd w:val="0"/>
        <w:spacing w:after="0" w:line="240" w:lineRule="auto"/>
        <w:ind w:firstLine="709"/>
        <w:jc w:val="both"/>
        <w:rPr>
          <w:rFonts w:ascii="Times New Roman" w:hAnsi="Times New Roman" w:cs="Times New Roman"/>
          <w:sz w:val="24"/>
          <w:szCs w:val="24"/>
        </w:rPr>
      </w:pPr>
      <w:r w:rsidRPr="00737C20">
        <w:rPr>
          <w:rFonts w:ascii="Times New Roman" w:hAnsi="Times New Roman" w:cs="Times New Roman"/>
          <w:sz w:val="24"/>
          <w:szCs w:val="24"/>
        </w:rPr>
        <w:t>Перечень видов аудиторских услуг утвержден приказом Министерства финансов Российской Федерации от 09.03.2017 N 33н и включает, в частности выполнение заданий, обеспечивающих разумную уверенность и заданий, обеспечивающих ограниченную уверенность в нефинансовой информации (в том числе в отчетах о выбросах парниковых газов, отчетности о выбросах загрязняющих веществ в атмосферный воздух, отчетности об устойчивом развитии).</w:t>
      </w:r>
    </w:p>
    <w:p w14:paraId="1386F313" w14:textId="77777777" w:rsidR="00E945B7" w:rsidRDefault="00E945B7" w:rsidP="00E945B7">
      <w:pPr>
        <w:pStyle w:val="ConsPlusNormal"/>
        <w:ind w:firstLine="708"/>
        <w:jc w:val="both"/>
        <w:rPr>
          <w:rFonts w:ascii="Times New Roman" w:eastAsiaTheme="minorHAnsi" w:hAnsi="Times New Roman" w:cs="Times New Roman"/>
          <w:sz w:val="24"/>
          <w:szCs w:val="24"/>
          <w:lang w:val="ru-RU"/>
        </w:rPr>
      </w:pPr>
    </w:p>
    <w:p w14:paraId="3B27CB83" w14:textId="77777777" w:rsidR="00595324" w:rsidRPr="00737C20" w:rsidRDefault="00595324" w:rsidP="00E945B7">
      <w:pPr>
        <w:pStyle w:val="ConsPlusNormal"/>
        <w:ind w:firstLine="708"/>
        <w:jc w:val="both"/>
        <w:rPr>
          <w:rFonts w:ascii="Times New Roman" w:eastAsiaTheme="minorHAnsi" w:hAnsi="Times New Roman" w:cs="Times New Roman"/>
          <w:sz w:val="24"/>
          <w:szCs w:val="24"/>
          <w:lang w:val="ru-RU"/>
        </w:rPr>
      </w:pPr>
      <w:r w:rsidRPr="00737C20">
        <w:rPr>
          <w:rFonts w:ascii="Times New Roman" w:eastAsiaTheme="minorHAnsi" w:hAnsi="Times New Roman" w:cs="Times New Roman"/>
          <w:sz w:val="24"/>
          <w:szCs w:val="24"/>
          <w:lang w:val="ru-RU"/>
        </w:rPr>
        <w:t xml:space="preserve">Использование международных стандартов, а именно, международного стандарта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(МСЗОУ 3000) и "Задания, обеспечивающие уверенность, в отношении отчетности о выбросах парниковых газов" (МСЗОУ 3410), создают нормативную базу для профессиональных аудиторов, обязательную к применению. </w:t>
      </w:r>
    </w:p>
    <w:p w14:paraId="00B72F7E" w14:textId="77777777" w:rsidR="00E945B7" w:rsidRDefault="00E945B7" w:rsidP="00E945B7">
      <w:pPr>
        <w:pStyle w:val="ab"/>
        <w:shd w:val="clear" w:color="auto" w:fill="FFFFFF"/>
        <w:ind w:firstLine="540"/>
        <w:jc w:val="both"/>
        <w:rPr>
          <w:color w:val="000000"/>
        </w:rPr>
      </w:pPr>
    </w:p>
    <w:p w14:paraId="0EA5B285" w14:textId="77777777" w:rsidR="00595324" w:rsidRPr="00737C20" w:rsidRDefault="00595324" w:rsidP="00E945B7">
      <w:pPr>
        <w:pStyle w:val="ab"/>
        <w:shd w:val="clear" w:color="auto" w:fill="FFFFFF"/>
        <w:ind w:firstLine="540"/>
        <w:jc w:val="both"/>
      </w:pPr>
      <w:r w:rsidRPr="00737C20">
        <w:rPr>
          <w:color w:val="000000"/>
        </w:rPr>
        <w:t xml:space="preserve">В соответствии со статьей 10 </w:t>
      </w:r>
      <w:r w:rsidRPr="00737C20">
        <w:t xml:space="preserve">Федерального закона «Об аудиторской деятельности» </w:t>
      </w:r>
      <w:r w:rsidRPr="00737C20">
        <w:rPr>
          <w:color w:val="000000"/>
        </w:rPr>
        <w:t xml:space="preserve">аудиторские организации и аудиторы обязаны установить и соблюдать правила внутреннего контроля качества работы, </w:t>
      </w:r>
      <w:r w:rsidRPr="00737C20">
        <w:t>проходить внешний контроль деятельности. Данное требование закона обеспечивает должное качество оказания аудиторских услуг.</w:t>
      </w:r>
    </w:p>
    <w:p w14:paraId="05BE3F36" w14:textId="77777777" w:rsidR="00E945B7" w:rsidRDefault="00E945B7" w:rsidP="00E945B7">
      <w:pPr>
        <w:pStyle w:val="ab"/>
        <w:shd w:val="clear" w:color="auto" w:fill="FFFFFF"/>
        <w:ind w:firstLine="540"/>
        <w:jc w:val="both"/>
        <w:rPr>
          <w:color w:val="000000"/>
          <w:shd w:val="clear" w:color="auto" w:fill="FFFFFF"/>
        </w:rPr>
      </w:pPr>
    </w:p>
    <w:p w14:paraId="6E8B9DA5" w14:textId="77777777" w:rsidR="00D614ED" w:rsidRDefault="00D614ED" w:rsidP="00E945B7">
      <w:pPr>
        <w:pStyle w:val="ab"/>
        <w:shd w:val="clear" w:color="auto" w:fill="FFFFFF"/>
        <w:ind w:firstLine="540"/>
        <w:jc w:val="both"/>
      </w:pPr>
      <w:r w:rsidRPr="00737C20">
        <w:rPr>
          <w:color w:val="000000"/>
          <w:shd w:val="clear" w:color="auto" w:fill="FFFFFF"/>
        </w:rPr>
        <w:t xml:space="preserve">Страхование ответственности за нарушение договора оказания аудиторских услуг и (или) ответственности за причинение вреда имуществу других лиц в результате осуществления аудиторской деятельности в соответствии с п.4.1. статьи 13 </w:t>
      </w:r>
      <w:r w:rsidRPr="00737C20">
        <w:t xml:space="preserve">Федерального закона «Об аудиторской деятельности» способствует повышению надежности отчетности, заверенной профессиональным аудитором. </w:t>
      </w:r>
    </w:p>
    <w:p w14:paraId="7D2BACC6" w14:textId="77777777" w:rsidR="00E945B7" w:rsidRDefault="00E945B7" w:rsidP="00E945B7">
      <w:pPr>
        <w:pStyle w:val="ab"/>
        <w:shd w:val="clear" w:color="auto" w:fill="FFFFFF"/>
        <w:ind w:firstLine="540"/>
        <w:jc w:val="both"/>
      </w:pPr>
    </w:p>
    <w:p w14:paraId="0F902AD5" w14:textId="7DF09E89" w:rsidR="00E945B7" w:rsidRDefault="00E945B7" w:rsidP="00E945B7">
      <w:pPr>
        <w:pStyle w:val="ab"/>
        <w:shd w:val="clear" w:color="auto" w:fill="FFFFFF"/>
        <w:ind w:firstLine="540"/>
        <w:jc w:val="both"/>
        <w:rPr>
          <w:b/>
        </w:rPr>
      </w:pPr>
      <w:r>
        <w:rPr>
          <w:b/>
        </w:rPr>
        <w:t>Таким образом, оказание услуг по подтверждению (заверению, верификации) нефинансовой отчетности профессиональным аудитором, деятельность которого регулируется законодательством, подлежит внешнему контролю, обеспечит надежность, достоверность и доверие пользователей к нефинансовой отчетности.</w:t>
      </w:r>
    </w:p>
    <w:p w14:paraId="28C7ED72" w14:textId="77777777" w:rsidR="00E945B7" w:rsidRDefault="00E945B7" w:rsidP="00E945B7">
      <w:pPr>
        <w:pStyle w:val="ab"/>
        <w:shd w:val="clear" w:color="auto" w:fill="FFFFFF"/>
        <w:ind w:firstLine="540"/>
        <w:jc w:val="both"/>
        <w:rPr>
          <w:b/>
        </w:rPr>
      </w:pPr>
    </w:p>
    <w:p w14:paraId="18ECED82" w14:textId="54C47958" w:rsidR="00493832" w:rsidRDefault="00493832" w:rsidP="00493832">
      <w:pPr>
        <w:pStyle w:val="ab"/>
        <w:shd w:val="clear" w:color="auto" w:fill="FFFFFF"/>
        <w:ind w:firstLine="540"/>
        <w:jc w:val="both"/>
      </w:pPr>
      <w:r>
        <w:rPr>
          <w:b/>
        </w:rPr>
        <w:t>С учетом вышеизложенного</w:t>
      </w:r>
      <w:r w:rsidR="00D614ED" w:rsidRPr="00737C20">
        <w:t xml:space="preserve"> предлагаем</w:t>
      </w:r>
      <w:r>
        <w:t>:</w:t>
      </w:r>
    </w:p>
    <w:p w14:paraId="10700AE0" w14:textId="77777777" w:rsidR="00645C75" w:rsidRDefault="00645C75" w:rsidP="00493832">
      <w:pPr>
        <w:pStyle w:val="ab"/>
        <w:shd w:val="clear" w:color="auto" w:fill="FFFFFF"/>
        <w:ind w:firstLine="540"/>
        <w:jc w:val="both"/>
      </w:pPr>
    </w:p>
    <w:p w14:paraId="54604574" w14:textId="714E11BB" w:rsidR="00D614ED" w:rsidRDefault="00493832" w:rsidP="00493832">
      <w:pPr>
        <w:pStyle w:val="ab"/>
        <w:shd w:val="clear" w:color="auto" w:fill="FFFFFF"/>
        <w:ind w:firstLine="540"/>
        <w:jc w:val="both"/>
      </w:pPr>
      <w:r>
        <w:t xml:space="preserve">- при разработке законодательных и иных нормативных правовых актов </w:t>
      </w:r>
      <w:r w:rsidR="00D614ED" w:rsidRPr="00737C20">
        <w:t xml:space="preserve">Российской Федерации </w:t>
      </w:r>
      <w:r>
        <w:t>в области нефинансовой отчетности исходить из возможности</w:t>
      </w:r>
      <w:r w:rsidR="00D614ED" w:rsidRPr="00737C20">
        <w:t xml:space="preserve"> </w:t>
      </w:r>
      <w:r>
        <w:t xml:space="preserve">оказания </w:t>
      </w:r>
      <w:r w:rsidR="00D614ED" w:rsidRPr="00737C20">
        <w:t xml:space="preserve">услуг по подтверждению (верификации, заверению) нефинансовой информации (в том числе отчетов о выбросах парниковых газов, отчетности о выбросах загрязняющих веществ в атмосферный воздух, отчетности об устойчивом развитии) </w:t>
      </w:r>
      <w:r w:rsidR="00D614ED" w:rsidRPr="00737C20">
        <w:rPr>
          <w:b/>
        </w:rPr>
        <w:t>исключительно аудиторскими организациями или индивидуальными аудиторами</w:t>
      </w:r>
      <w:r>
        <w:t>;</w:t>
      </w:r>
    </w:p>
    <w:p w14:paraId="5B0B1F81" w14:textId="77777777" w:rsidR="00645C75" w:rsidRDefault="00645C75" w:rsidP="00493832">
      <w:pPr>
        <w:pStyle w:val="ab"/>
        <w:shd w:val="clear" w:color="auto" w:fill="FFFFFF"/>
        <w:ind w:firstLine="540"/>
        <w:jc w:val="both"/>
      </w:pPr>
    </w:p>
    <w:p w14:paraId="0C5559F2" w14:textId="77777777" w:rsidR="00493832" w:rsidRPr="00737C20" w:rsidRDefault="00493832" w:rsidP="00493832">
      <w:pPr>
        <w:pStyle w:val="ab"/>
        <w:shd w:val="clear" w:color="auto" w:fill="FFFFFF"/>
        <w:ind w:firstLine="540"/>
        <w:jc w:val="both"/>
      </w:pPr>
      <w:r w:rsidRPr="00925E00">
        <w:t>- внести в действующие нормативные правовые акты</w:t>
      </w:r>
      <w:r w:rsidR="00951BE2" w:rsidRPr="001211C1">
        <w:t xml:space="preserve"> Российской Федерации</w:t>
      </w:r>
      <w:r w:rsidRPr="00925E00">
        <w:t>, предусматривающие заверение</w:t>
      </w:r>
      <w:r w:rsidR="00951BE2" w:rsidRPr="001211C1">
        <w:t xml:space="preserve"> (верификацию) отчетности </w:t>
      </w:r>
      <w:r w:rsidR="00925E00" w:rsidRPr="001211C1">
        <w:t xml:space="preserve">в области </w:t>
      </w:r>
      <w:r w:rsidR="00925E00" w:rsidRPr="00737C20">
        <w:t>климатических проектов</w:t>
      </w:r>
      <w:r w:rsidR="00925E00">
        <w:t>, изменения, предусматривающие возможность такого заверения исключительно субъектами аудиторской деятельности</w:t>
      </w:r>
      <w:r w:rsidRPr="00925E00">
        <w:t>.</w:t>
      </w:r>
      <w:r>
        <w:t xml:space="preserve"> </w:t>
      </w:r>
    </w:p>
    <w:p w14:paraId="4168547B" w14:textId="77777777" w:rsidR="003A3ED8" w:rsidRPr="00737C20" w:rsidRDefault="003A3ED8" w:rsidP="00E945B7">
      <w:pPr>
        <w:pStyle w:val="a6"/>
        <w:spacing w:after="0" w:line="240" w:lineRule="auto"/>
        <w:ind w:firstLine="567"/>
        <w:jc w:val="both"/>
        <w:rPr>
          <w:rFonts w:ascii="Times New Roman" w:hAnsi="Times New Roman" w:cs="Times New Roman"/>
          <w:sz w:val="24"/>
          <w:szCs w:val="24"/>
        </w:rPr>
      </w:pPr>
    </w:p>
    <w:p w14:paraId="5A7DDC08" w14:textId="77777777" w:rsidR="003A3ED8" w:rsidRPr="00737C20" w:rsidRDefault="003A3ED8" w:rsidP="00E945B7">
      <w:pPr>
        <w:spacing w:after="0" w:line="240" w:lineRule="auto"/>
        <w:ind w:firstLine="567"/>
        <w:jc w:val="both"/>
        <w:rPr>
          <w:rFonts w:ascii="Times New Roman" w:hAnsi="Times New Roman" w:cs="Times New Roman"/>
          <w:sz w:val="24"/>
          <w:szCs w:val="24"/>
        </w:rPr>
      </w:pPr>
    </w:p>
    <w:p w14:paraId="5528FB04" w14:textId="77777777" w:rsidR="00626B12" w:rsidRPr="00B65A7C" w:rsidRDefault="00626B12" w:rsidP="00626B12">
      <w:pPr>
        <w:pStyle w:val="1"/>
        <w:rPr>
          <w:rFonts w:ascii="Times New Roman" w:hAnsi="Times New Roman" w:cs="Times New Roman"/>
          <w:sz w:val="24"/>
          <w:szCs w:val="24"/>
        </w:rPr>
      </w:pPr>
      <w:bookmarkStart w:id="13" w:name="_Toc122016896"/>
      <w:bookmarkStart w:id="14" w:name="_Toc122443431"/>
      <w:r w:rsidRPr="00B65A7C">
        <w:rPr>
          <w:rFonts w:ascii="Times New Roman" w:hAnsi="Times New Roman" w:cs="Times New Roman"/>
          <w:sz w:val="24"/>
          <w:szCs w:val="24"/>
        </w:rPr>
        <w:t>Нормативное регулирование</w:t>
      </w:r>
      <w:bookmarkEnd w:id="13"/>
      <w:bookmarkEnd w:id="14"/>
    </w:p>
    <w:p w14:paraId="2032A943" w14:textId="77777777" w:rsidR="00626B12" w:rsidRPr="00D074B8" w:rsidRDefault="00626B12" w:rsidP="00626B12">
      <w:pPr>
        <w:pStyle w:val="ab"/>
        <w:shd w:val="clear" w:color="auto" w:fill="FFFFFF"/>
        <w:ind w:firstLine="540"/>
        <w:jc w:val="both"/>
        <w:rPr>
          <w:color w:val="000000"/>
          <w:shd w:val="clear" w:color="auto" w:fill="FFFFFF"/>
        </w:rPr>
      </w:pPr>
      <w:r w:rsidRPr="00D074B8">
        <w:rPr>
          <w:color w:val="000000"/>
          <w:shd w:val="clear" w:color="auto" w:fill="FFFFFF"/>
        </w:rPr>
        <w:t>Доклад для общественных консультаций о совершенствовании концептуальных основ осуществления аудиторской деятельности сформирован с учетом требований следующих нормативных актов:</w:t>
      </w:r>
    </w:p>
    <w:p w14:paraId="52943CE4" w14:textId="77777777" w:rsidR="00626B12" w:rsidRPr="00D074B8" w:rsidRDefault="00626B12" w:rsidP="00626B12">
      <w:pPr>
        <w:pStyle w:val="ab"/>
        <w:shd w:val="clear" w:color="auto" w:fill="FFFFFF"/>
        <w:ind w:firstLine="540"/>
        <w:jc w:val="both"/>
        <w:rPr>
          <w:color w:val="000000"/>
          <w:shd w:val="clear" w:color="auto" w:fill="FFFFFF"/>
        </w:rPr>
      </w:pPr>
    </w:p>
    <w:p w14:paraId="1BF0D098"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sidRPr="0028618D">
        <w:rPr>
          <w:rFonts w:ascii="Times New Roman" w:hAnsi="Times New Roman" w:cs="Times New Roman"/>
          <w:color w:val="000000" w:themeColor="text1"/>
          <w:sz w:val="24"/>
          <w:szCs w:val="24"/>
          <w:lang w:val="ru"/>
        </w:rPr>
        <w:t>1. Федеральный закон от 30.12.2008 № 307-ФЗ «Об аудиторской деятельности»</w:t>
      </w:r>
      <w:r w:rsidRPr="0028618D">
        <w:rPr>
          <w:rFonts w:ascii="Times New Roman" w:hAnsi="Times New Roman" w:cs="Times New Roman"/>
          <w:color w:val="000000" w:themeColor="text1"/>
          <w:sz w:val="24"/>
          <w:szCs w:val="24"/>
          <w:lang w:val="ru" w:eastAsia="ru-RU"/>
        </w:rPr>
        <w:t>.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007F21ED" w14:textId="4D550F63" w:rsidR="00626B12" w:rsidRPr="0028618D" w:rsidRDefault="00626B12" w:rsidP="00626B12">
      <w:pPr>
        <w:jc w:val="both"/>
        <w:rPr>
          <w:rFonts w:ascii="Times New Roman" w:hAnsi="Times New Roman" w:cs="Times New Roman"/>
          <w:color w:val="000000" w:themeColor="text1"/>
          <w:sz w:val="24"/>
          <w:szCs w:val="24"/>
        </w:rPr>
      </w:pPr>
      <w:r w:rsidRPr="0028618D">
        <w:rPr>
          <w:rFonts w:ascii="Times New Roman" w:hAnsi="Times New Roman" w:cs="Times New Roman"/>
          <w:color w:val="000000" w:themeColor="text1"/>
          <w:sz w:val="24"/>
          <w:szCs w:val="24"/>
          <w:lang w:val="ru"/>
        </w:rPr>
        <w:t>2. Федеральный закон от 06.12.2011 № 402-ФЗ «О бухгалтерском учете»</w:t>
      </w:r>
      <w:r w:rsidRPr="0028618D">
        <w:rPr>
          <w:rFonts w:ascii="Times New Roman" w:hAnsi="Times New Roman" w:cs="Times New Roman"/>
          <w:color w:val="000000" w:themeColor="text1"/>
          <w:sz w:val="24"/>
          <w:szCs w:val="24"/>
          <w:lang w:val="ru" w:eastAsia="ru-RU"/>
        </w:rPr>
        <w:t>.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2845383F" w14:textId="77777777" w:rsidR="00626B12" w:rsidRDefault="00626B12" w:rsidP="00626B12">
      <w:pPr>
        <w:jc w:val="both"/>
        <w:rPr>
          <w:rFonts w:ascii="Times New Roman" w:hAnsi="Times New Roman" w:cs="Times New Roman"/>
          <w:color w:val="000000" w:themeColor="text1"/>
          <w:sz w:val="24"/>
          <w:szCs w:val="24"/>
          <w:lang w:val="ru" w:eastAsia="ru-RU"/>
        </w:rPr>
      </w:pPr>
      <w:r w:rsidRPr="00B26274">
        <w:rPr>
          <w:rFonts w:ascii="Times New Roman" w:hAnsi="Times New Roman" w:cs="Times New Roman"/>
          <w:color w:val="000000" w:themeColor="text1"/>
          <w:sz w:val="24"/>
          <w:szCs w:val="24"/>
          <w:lang w:val="ru" w:eastAsia="ru-RU"/>
        </w:rPr>
        <w:t xml:space="preserve">3. Федеральный закон РФ от 02.07.2021 </w:t>
      </w:r>
      <w:r w:rsidRPr="0028618D">
        <w:rPr>
          <w:rFonts w:ascii="Times New Roman" w:hAnsi="Times New Roman" w:cs="Times New Roman"/>
          <w:color w:val="000000" w:themeColor="text1"/>
          <w:sz w:val="24"/>
          <w:szCs w:val="24"/>
          <w:lang w:val="ru" w:eastAsia="ru-RU"/>
        </w:rPr>
        <w:t xml:space="preserve">№ 296-ФЗ </w:t>
      </w:r>
      <w:r w:rsidRPr="00B26274">
        <w:rPr>
          <w:rFonts w:ascii="Times New Roman" w:hAnsi="Times New Roman" w:cs="Times New Roman"/>
          <w:color w:val="000000" w:themeColor="text1"/>
          <w:sz w:val="24"/>
          <w:szCs w:val="24"/>
          <w:lang w:val="ru" w:eastAsia="ru-RU"/>
        </w:rPr>
        <w:t>«Об ограничении выбросов парниковых газов».</w:t>
      </w:r>
      <w:r w:rsidRPr="0028618D">
        <w:rPr>
          <w:rFonts w:ascii="Times New Roman" w:hAnsi="Times New Roman" w:cs="Times New Roman"/>
          <w:color w:val="000000" w:themeColor="text1"/>
          <w:sz w:val="24"/>
          <w:szCs w:val="24"/>
          <w:lang w:val="ru" w:eastAsia="ru-RU"/>
        </w:rPr>
        <w:t xml:space="preserve"> Доступ из справ.-правовой системы "КонсультантПлюс";</w:t>
      </w:r>
    </w:p>
    <w:p w14:paraId="028B96BE" w14:textId="77777777" w:rsidR="00626B12"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4. </w:t>
      </w:r>
      <w:r w:rsidRPr="00B26274">
        <w:rPr>
          <w:rFonts w:ascii="Times New Roman" w:hAnsi="Times New Roman" w:cs="Times New Roman"/>
          <w:color w:val="000000" w:themeColor="text1"/>
          <w:sz w:val="24"/>
          <w:szCs w:val="24"/>
          <w:lang w:val="ru" w:eastAsia="ru-RU"/>
        </w:rPr>
        <w:t xml:space="preserve">Федеральный закон от 17.05.2007 </w:t>
      </w:r>
      <w:r>
        <w:rPr>
          <w:rFonts w:ascii="Times New Roman" w:hAnsi="Times New Roman" w:cs="Times New Roman"/>
          <w:color w:val="000000" w:themeColor="text1"/>
          <w:sz w:val="24"/>
          <w:szCs w:val="24"/>
          <w:lang w:val="ru" w:eastAsia="ru-RU"/>
        </w:rPr>
        <w:t>№</w:t>
      </w:r>
      <w:r w:rsidRPr="00B26274">
        <w:rPr>
          <w:rFonts w:ascii="Times New Roman" w:hAnsi="Times New Roman" w:cs="Times New Roman"/>
          <w:color w:val="000000" w:themeColor="text1"/>
          <w:sz w:val="24"/>
          <w:szCs w:val="24"/>
          <w:lang w:val="ru" w:eastAsia="ru-RU"/>
        </w:rPr>
        <w:t xml:space="preserve"> 82-ФЗ "О государственной корпорации развития "ВЭБ.РФ". </w:t>
      </w:r>
      <w:r w:rsidRPr="0028618D">
        <w:rPr>
          <w:rFonts w:ascii="Times New Roman" w:hAnsi="Times New Roman" w:cs="Times New Roman"/>
          <w:color w:val="000000" w:themeColor="text1"/>
          <w:sz w:val="24"/>
          <w:szCs w:val="24"/>
          <w:lang w:val="ru" w:eastAsia="ru-RU"/>
        </w:rPr>
        <w:t>Доступ из справ.-правовой системы "КонсультантПлюс";</w:t>
      </w:r>
    </w:p>
    <w:p w14:paraId="4022AB70" w14:textId="77777777" w:rsidR="00626B12" w:rsidRPr="00B26274"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5</w:t>
      </w:r>
      <w:r w:rsidRPr="0028618D">
        <w:rPr>
          <w:rFonts w:ascii="Times New Roman" w:hAnsi="Times New Roman" w:cs="Times New Roman"/>
          <w:color w:val="000000" w:themeColor="text1"/>
          <w:sz w:val="24"/>
          <w:szCs w:val="24"/>
          <w:lang w:val="ru" w:eastAsia="ru-RU"/>
        </w:rPr>
        <w:t>. Постановление Правительства РФ от 24.03.2022 № 455 "Об утверждении Правил верификации результатов реализации климатических проектов". Доступ из справ.-правовой системы "КонсультантПлюс";</w:t>
      </w:r>
    </w:p>
    <w:p w14:paraId="0D17B090"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6</w:t>
      </w:r>
      <w:r w:rsidRPr="0028618D">
        <w:rPr>
          <w:rFonts w:ascii="Times New Roman" w:hAnsi="Times New Roman" w:cs="Times New Roman"/>
          <w:color w:val="000000" w:themeColor="text1"/>
          <w:sz w:val="24"/>
          <w:szCs w:val="24"/>
          <w:lang w:val="ru" w:eastAsia="ru-RU"/>
        </w:rPr>
        <w:t xml:space="preserve">. Постановление Правительства РФ от 21.09.2021 </w:t>
      </w:r>
      <w:r>
        <w:rPr>
          <w:rFonts w:ascii="Times New Roman" w:hAnsi="Times New Roman" w:cs="Times New Roman"/>
          <w:color w:val="000000" w:themeColor="text1"/>
          <w:sz w:val="24"/>
          <w:szCs w:val="24"/>
          <w:lang w:val="ru" w:eastAsia="ru-RU"/>
        </w:rPr>
        <w:t>№</w:t>
      </w:r>
      <w:r w:rsidRPr="0028618D">
        <w:rPr>
          <w:rFonts w:ascii="Times New Roman" w:hAnsi="Times New Roman" w:cs="Times New Roman"/>
          <w:color w:val="000000" w:themeColor="text1"/>
          <w:sz w:val="24"/>
          <w:szCs w:val="24"/>
          <w:lang w:val="ru" w:eastAsia="ru-RU"/>
        </w:rPr>
        <w:t xml:space="preserve"> 1587 "Об утверждении критериев проектов устойчивого (в том числе зеленого) развития в Российской Федерации и требований к системе верификации проектов устойчивого (в том числе зеленого) развития в Российской Федерации".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60DD2DF9" w14:textId="77777777" w:rsidR="00626B12" w:rsidRPr="0028618D" w:rsidRDefault="00626B12" w:rsidP="00626B12">
      <w:pPr>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val="ru" w:eastAsia="ru-RU"/>
        </w:rPr>
        <w:t>7</w:t>
      </w:r>
      <w:r w:rsidRPr="0028618D">
        <w:rPr>
          <w:rFonts w:ascii="Times New Roman" w:hAnsi="Times New Roman" w:cs="Times New Roman"/>
          <w:color w:val="000000" w:themeColor="text1"/>
          <w:sz w:val="24"/>
          <w:szCs w:val="24"/>
          <w:lang w:val="ru" w:eastAsia="ru-RU"/>
        </w:rPr>
        <w:t>. Распоряжение Правительства РФ от 18.11.2020 № 3024-р «О координирующей роли Минэкономразвития России по вопросам развития инвестиционной деятельности и привлечения внебюджетных средств в проекты устойчивого (в том числе зеленого) развития в Российской Федерации»</w:t>
      </w:r>
      <w:r w:rsidRPr="0028618D">
        <w:rPr>
          <w:rFonts w:ascii="Times New Roman" w:hAnsi="Times New Roman" w:cs="Times New Roman"/>
          <w:color w:val="000000" w:themeColor="text1"/>
          <w:sz w:val="24"/>
          <w:szCs w:val="24"/>
        </w:rPr>
        <w:t>.</w:t>
      </w:r>
      <w:r w:rsidRPr="0028618D">
        <w:rPr>
          <w:rFonts w:ascii="Times New Roman" w:hAnsi="Times New Roman" w:cs="Times New Roman"/>
          <w:color w:val="000000" w:themeColor="text1"/>
          <w:sz w:val="24"/>
          <w:szCs w:val="24"/>
          <w:lang w:val="ru" w:eastAsia="ru-RU"/>
        </w:rPr>
        <w:t xml:space="preserve">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20398300"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8</w:t>
      </w:r>
      <w:r w:rsidRPr="0028618D">
        <w:rPr>
          <w:rFonts w:ascii="Times New Roman" w:hAnsi="Times New Roman" w:cs="Times New Roman"/>
          <w:color w:val="000000" w:themeColor="text1"/>
          <w:sz w:val="24"/>
          <w:szCs w:val="24"/>
          <w:lang w:val="ru" w:eastAsia="ru-RU"/>
        </w:rPr>
        <w:t>. Концепция развития аудиторской деятельности в Российской Федерации до 2024 года, утвержденная распоряжением Правительства Российской Федерации от 31.12.2020 г. № 3709-р. Доступ из справ.-правовой системы "КонсультантПлюс";</w:t>
      </w:r>
    </w:p>
    <w:p w14:paraId="59634CCC"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9</w:t>
      </w:r>
      <w:r w:rsidRPr="0028618D">
        <w:rPr>
          <w:rFonts w:ascii="Times New Roman" w:hAnsi="Times New Roman" w:cs="Times New Roman"/>
          <w:color w:val="000000" w:themeColor="text1"/>
          <w:sz w:val="24"/>
          <w:szCs w:val="24"/>
          <w:lang w:val="ru" w:eastAsia="ru-RU"/>
        </w:rPr>
        <w:t>.</w:t>
      </w:r>
      <w:r w:rsidRPr="0028618D">
        <w:rPr>
          <w:sz w:val="24"/>
          <w:szCs w:val="24"/>
        </w:rPr>
        <w:t> </w:t>
      </w:r>
      <w:r w:rsidRPr="0028618D">
        <w:rPr>
          <w:rFonts w:ascii="Times New Roman" w:hAnsi="Times New Roman" w:cs="Times New Roman"/>
          <w:color w:val="000000" w:themeColor="text1"/>
          <w:sz w:val="24"/>
          <w:szCs w:val="24"/>
          <w:lang w:val="ru" w:eastAsia="ru-RU"/>
        </w:rPr>
        <w:t>Концепция развития публичной нефинансовой отчетности и плана мероприятий по ее реализации, утвержденная распоряжением Правительства Российской Федерации от 05.05.2017 № 876-р. Доступ из справ.-правовой системы "КонсультантПлюс";</w:t>
      </w:r>
    </w:p>
    <w:p w14:paraId="518617FB"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Pr>
          <w:rFonts w:ascii="Times New Roman" w:hAnsi="Times New Roman" w:cs="Times New Roman"/>
          <w:color w:val="000000" w:themeColor="text1"/>
          <w:sz w:val="24"/>
          <w:szCs w:val="24"/>
          <w:lang w:val="ru" w:eastAsia="ru-RU"/>
        </w:rPr>
        <w:t>10</w:t>
      </w:r>
      <w:r w:rsidRPr="0028618D">
        <w:rPr>
          <w:rFonts w:ascii="Times New Roman" w:hAnsi="Times New Roman" w:cs="Times New Roman"/>
          <w:color w:val="000000" w:themeColor="text1"/>
          <w:sz w:val="24"/>
          <w:szCs w:val="24"/>
          <w:lang w:val="ru" w:eastAsia="ru-RU"/>
        </w:rPr>
        <w:t>. Стратегия социально-экономического развития Российской Федерации с низким уровнем выбросов парниковых газов до 2050 года, утверждена Распоряжение Правительства РФ от 29.10.2021 N 3052-р.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2052EB47"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sidRPr="0028618D">
        <w:rPr>
          <w:rFonts w:ascii="Times New Roman" w:hAnsi="Times New Roman" w:cs="Times New Roman"/>
          <w:color w:val="000000" w:themeColor="text1"/>
          <w:sz w:val="24"/>
          <w:szCs w:val="24"/>
          <w:lang w:val="ru" w:eastAsia="ru-RU"/>
        </w:rPr>
        <w:t>1</w:t>
      </w:r>
      <w:r>
        <w:rPr>
          <w:rFonts w:ascii="Times New Roman" w:hAnsi="Times New Roman" w:cs="Times New Roman"/>
          <w:color w:val="000000" w:themeColor="text1"/>
          <w:sz w:val="24"/>
          <w:szCs w:val="24"/>
          <w:lang w:val="ru" w:eastAsia="ru-RU"/>
        </w:rPr>
        <w:t>1</w:t>
      </w:r>
      <w:r w:rsidRPr="0028618D">
        <w:rPr>
          <w:rFonts w:ascii="Times New Roman" w:hAnsi="Times New Roman" w:cs="Times New Roman"/>
          <w:color w:val="000000" w:themeColor="text1"/>
          <w:sz w:val="24"/>
          <w:szCs w:val="24"/>
          <w:lang w:val="ru" w:eastAsia="ru-RU"/>
        </w:rPr>
        <w:t xml:space="preserve">. Приказ Минфина России от 09.03.2017 </w:t>
      </w:r>
      <w:r w:rsidRPr="0028618D">
        <w:rPr>
          <w:rFonts w:ascii="Times New Roman" w:hAnsi="Times New Roman" w:cs="Times New Roman"/>
          <w:color w:val="000000" w:themeColor="text1"/>
          <w:sz w:val="24"/>
          <w:szCs w:val="24"/>
        </w:rPr>
        <w:t>№</w:t>
      </w:r>
      <w:r w:rsidRPr="0028618D">
        <w:rPr>
          <w:rFonts w:ascii="Times New Roman" w:hAnsi="Times New Roman" w:cs="Times New Roman"/>
          <w:color w:val="000000" w:themeColor="text1"/>
          <w:sz w:val="24"/>
          <w:szCs w:val="24"/>
          <w:lang w:val="ru" w:eastAsia="ru-RU"/>
        </w:rPr>
        <w:t xml:space="preserve"> 33н</w:t>
      </w:r>
      <w:r w:rsidRPr="0028618D">
        <w:rPr>
          <w:rFonts w:ascii="Times New Roman" w:hAnsi="Times New Roman" w:cs="Times New Roman"/>
          <w:color w:val="000000" w:themeColor="text1"/>
          <w:sz w:val="24"/>
          <w:szCs w:val="24"/>
        </w:rPr>
        <w:t xml:space="preserve"> </w:t>
      </w:r>
      <w:r w:rsidRPr="0028618D">
        <w:rPr>
          <w:rFonts w:ascii="Times New Roman" w:hAnsi="Times New Roman" w:cs="Times New Roman"/>
          <w:color w:val="000000" w:themeColor="text1"/>
          <w:sz w:val="24"/>
          <w:szCs w:val="24"/>
          <w:lang w:val="ru" w:eastAsia="ru-RU"/>
        </w:rPr>
        <w:t>"Об определении видов аудиторских услуг, в том числе перечня сопутствующих аудиту услуг".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2818B645" w14:textId="77777777" w:rsidR="00626B12" w:rsidRPr="0028618D" w:rsidRDefault="00626B12" w:rsidP="00626B12">
      <w:pPr>
        <w:jc w:val="both"/>
        <w:rPr>
          <w:rFonts w:ascii="Times New Roman" w:hAnsi="Times New Roman" w:cs="Times New Roman"/>
          <w:color w:val="000000" w:themeColor="text1"/>
          <w:sz w:val="24"/>
          <w:szCs w:val="24"/>
        </w:rPr>
      </w:pPr>
      <w:r w:rsidRPr="0028618D">
        <w:rPr>
          <w:rFonts w:ascii="Times New Roman" w:hAnsi="Times New Roman" w:cs="Times New Roman"/>
          <w:color w:val="000000" w:themeColor="text1"/>
          <w:sz w:val="24"/>
          <w:szCs w:val="24"/>
          <w:lang w:val="ru"/>
        </w:rPr>
        <w:t>1</w:t>
      </w:r>
      <w:r>
        <w:rPr>
          <w:rFonts w:ascii="Times New Roman" w:hAnsi="Times New Roman" w:cs="Times New Roman"/>
          <w:color w:val="000000" w:themeColor="text1"/>
          <w:sz w:val="24"/>
          <w:szCs w:val="24"/>
          <w:lang w:val="ru"/>
        </w:rPr>
        <w:t>2</w:t>
      </w:r>
      <w:r w:rsidRPr="0028618D">
        <w:rPr>
          <w:rFonts w:ascii="Times New Roman" w:hAnsi="Times New Roman" w:cs="Times New Roman"/>
          <w:color w:val="000000" w:themeColor="text1"/>
          <w:sz w:val="24"/>
          <w:szCs w:val="24"/>
          <w:lang w:val="ru"/>
        </w:rPr>
        <w:t xml:space="preserve">. Концептуальные </w:t>
      </w:r>
      <w:hyperlink r:id="rId16" w:history="1">
        <w:r w:rsidRPr="0028618D">
          <w:rPr>
            <w:rFonts w:ascii="Times New Roman" w:hAnsi="Times New Roman" w:cs="Times New Roman"/>
            <w:color w:val="000000" w:themeColor="text1"/>
            <w:sz w:val="24"/>
            <w:szCs w:val="24"/>
            <w:lang w:val="ru"/>
          </w:rPr>
          <w:t>основы</w:t>
        </w:r>
      </w:hyperlink>
      <w:r w:rsidRPr="0028618D">
        <w:rPr>
          <w:rFonts w:ascii="Times New Roman" w:hAnsi="Times New Roman" w:cs="Times New Roman"/>
          <w:color w:val="000000" w:themeColor="text1"/>
          <w:sz w:val="24"/>
          <w:szCs w:val="24"/>
          <w:lang w:val="ru"/>
        </w:rPr>
        <w:t xml:space="preserve"> представления финансовых отчетов, опубликованы 08.11.2018 г. на русском языке на сайте Минфина России</w:t>
      </w:r>
      <w:r w:rsidRPr="0028618D">
        <w:rPr>
          <w:rFonts w:ascii="Times New Roman" w:hAnsi="Times New Roman" w:cs="Times New Roman"/>
          <w:color w:val="000000" w:themeColor="text1"/>
          <w:sz w:val="24"/>
          <w:szCs w:val="24"/>
          <w:vertAlign w:val="superscript"/>
          <w:lang w:val="ru"/>
        </w:rPr>
        <w:footnoteReference w:id="8"/>
      </w:r>
      <w:r w:rsidRPr="0028618D">
        <w:rPr>
          <w:rFonts w:ascii="Times New Roman" w:hAnsi="Times New Roman" w:cs="Times New Roman"/>
          <w:color w:val="000000" w:themeColor="text1"/>
          <w:sz w:val="24"/>
          <w:szCs w:val="24"/>
          <w:lang w:val="ru" w:eastAsia="ru-RU"/>
        </w:rPr>
        <w:t>.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571546BD" w14:textId="77777777" w:rsidR="00626B12" w:rsidRPr="0028618D" w:rsidRDefault="00626B12" w:rsidP="00626B12">
      <w:pPr>
        <w:jc w:val="both"/>
        <w:rPr>
          <w:rFonts w:ascii="Times New Roman" w:hAnsi="Times New Roman" w:cs="Times New Roman"/>
          <w:color w:val="000000" w:themeColor="text1"/>
          <w:sz w:val="24"/>
          <w:szCs w:val="24"/>
        </w:rPr>
      </w:pPr>
      <w:r w:rsidRPr="0028618D">
        <w:rPr>
          <w:rFonts w:ascii="Times New Roman" w:hAnsi="Times New Roman" w:cs="Times New Roman"/>
          <w:color w:val="000000" w:themeColor="text1"/>
          <w:sz w:val="24"/>
          <w:szCs w:val="24"/>
          <w:lang w:val="ru" w:eastAsia="ru-RU"/>
        </w:rPr>
        <w:t>1</w:t>
      </w:r>
      <w:r>
        <w:rPr>
          <w:rFonts w:ascii="Times New Roman" w:hAnsi="Times New Roman" w:cs="Times New Roman"/>
          <w:color w:val="000000" w:themeColor="text1"/>
          <w:sz w:val="24"/>
          <w:szCs w:val="24"/>
          <w:lang w:val="ru" w:eastAsia="ru-RU"/>
        </w:rPr>
        <w:t>3</w:t>
      </w:r>
      <w:r w:rsidRPr="0028618D">
        <w:rPr>
          <w:rFonts w:ascii="Times New Roman" w:hAnsi="Times New Roman" w:cs="Times New Roman"/>
          <w:color w:val="000000" w:themeColor="text1"/>
          <w:sz w:val="24"/>
          <w:szCs w:val="24"/>
          <w:lang w:val="ru" w:eastAsia="ru-RU"/>
        </w:rPr>
        <w:t xml:space="preserve">. Международный стандарт заданий, обеспечивающих уверенность 3000 (пересмотренный) "Задания, обеспечивающие уверенность, отличные от аудита и обзорной проверки финансовой информации прошедших периодов" (введен в действие на территории Российской Федерации Приказом Минфина России от 09.01.2019 </w:t>
      </w:r>
      <w:r w:rsidRPr="0028618D">
        <w:rPr>
          <w:rFonts w:ascii="Times New Roman" w:hAnsi="Times New Roman" w:cs="Times New Roman"/>
          <w:color w:val="000000" w:themeColor="text1"/>
          <w:sz w:val="24"/>
          <w:szCs w:val="24"/>
          <w:lang w:val="ru"/>
        </w:rPr>
        <w:t>№</w:t>
      </w:r>
      <w:r w:rsidRPr="0028618D">
        <w:rPr>
          <w:rFonts w:ascii="Times New Roman" w:hAnsi="Times New Roman" w:cs="Times New Roman"/>
          <w:color w:val="000000" w:themeColor="text1"/>
          <w:sz w:val="24"/>
          <w:szCs w:val="24"/>
          <w:lang w:val="ru" w:eastAsia="ru-RU"/>
        </w:rPr>
        <w:t xml:space="preserve"> 2н</w:t>
      </w:r>
      <w:proofErr w:type="gramStart"/>
      <w:r w:rsidRPr="0028618D">
        <w:rPr>
          <w:rFonts w:ascii="Times New Roman" w:hAnsi="Times New Roman" w:cs="Times New Roman"/>
          <w:color w:val="000000" w:themeColor="text1"/>
          <w:sz w:val="24"/>
          <w:szCs w:val="24"/>
          <w:lang w:val="ru" w:eastAsia="ru-RU"/>
        </w:rPr>
        <w:t>)</w:t>
      </w:r>
      <w:r w:rsidRPr="0028618D">
        <w:rPr>
          <w:rFonts w:ascii="Times New Roman" w:hAnsi="Times New Roman" w:cs="Times New Roman"/>
          <w:color w:val="000000" w:themeColor="text1"/>
          <w:sz w:val="24"/>
          <w:szCs w:val="24"/>
        </w:rPr>
        <w:t xml:space="preserve"> </w:t>
      </w:r>
      <w:r w:rsidRPr="0028618D">
        <w:rPr>
          <w:rFonts w:ascii="Times New Roman" w:hAnsi="Times New Roman" w:cs="Times New Roman"/>
          <w:color w:val="000000" w:themeColor="text1"/>
          <w:sz w:val="24"/>
          <w:szCs w:val="24"/>
          <w:lang w:val="ru" w:eastAsia="ru-RU"/>
        </w:rPr>
        <w:t>.</w:t>
      </w:r>
      <w:proofErr w:type="gramEnd"/>
      <w:r w:rsidRPr="0028618D">
        <w:rPr>
          <w:rFonts w:ascii="Times New Roman" w:hAnsi="Times New Roman" w:cs="Times New Roman"/>
          <w:color w:val="000000" w:themeColor="text1"/>
          <w:sz w:val="24"/>
          <w:szCs w:val="24"/>
          <w:lang w:val="ru" w:eastAsia="ru-RU"/>
        </w:rPr>
        <w:t xml:space="preserve">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66479A0C" w14:textId="77777777" w:rsidR="00626B12" w:rsidRPr="0028618D" w:rsidRDefault="00626B12" w:rsidP="00626B12">
      <w:pPr>
        <w:jc w:val="both"/>
        <w:rPr>
          <w:rFonts w:ascii="Times New Roman" w:hAnsi="Times New Roman" w:cs="Times New Roman"/>
          <w:color w:val="000000" w:themeColor="text1"/>
          <w:sz w:val="24"/>
          <w:szCs w:val="24"/>
          <w:lang w:eastAsia="ru-RU"/>
        </w:rPr>
      </w:pPr>
      <w:r w:rsidRPr="0028618D">
        <w:rPr>
          <w:rFonts w:ascii="Times New Roman" w:hAnsi="Times New Roman" w:cs="Times New Roman"/>
          <w:color w:val="000000" w:themeColor="text1"/>
          <w:sz w:val="24"/>
          <w:szCs w:val="24"/>
          <w:lang w:val="ru" w:eastAsia="ru-RU"/>
        </w:rPr>
        <w:t>1</w:t>
      </w:r>
      <w:r>
        <w:rPr>
          <w:rFonts w:ascii="Times New Roman" w:hAnsi="Times New Roman" w:cs="Times New Roman"/>
          <w:color w:val="000000" w:themeColor="text1"/>
          <w:sz w:val="24"/>
          <w:szCs w:val="24"/>
          <w:lang w:val="ru" w:eastAsia="ru-RU"/>
        </w:rPr>
        <w:t>4</w:t>
      </w:r>
      <w:r w:rsidRPr="0028618D">
        <w:rPr>
          <w:rFonts w:ascii="Times New Roman" w:hAnsi="Times New Roman" w:cs="Times New Roman"/>
          <w:color w:val="000000" w:themeColor="text1"/>
          <w:sz w:val="24"/>
          <w:szCs w:val="24"/>
          <w:lang w:val="ru" w:eastAsia="ru-RU"/>
        </w:rPr>
        <w:t>. "Международный стандарт заданий, обеспечивающих уверенность 3410 "Задания, обеспечивающие уверенность, в отношении отчетности о выбросах парниковых газов" (введен в действие на территории Российской Федерации Приказом Минфина России от 09.01.2019 N 2н). Доступ из справ.-правовой системы "КонсультантПлюс"</w:t>
      </w:r>
      <w:r w:rsidRPr="0028618D">
        <w:rPr>
          <w:rFonts w:ascii="Times New Roman" w:hAnsi="Times New Roman" w:cs="Times New Roman"/>
          <w:color w:val="000000" w:themeColor="text1"/>
          <w:sz w:val="24"/>
          <w:szCs w:val="24"/>
          <w:lang w:val="ru"/>
        </w:rPr>
        <w:t>;</w:t>
      </w:r>
    </w:p>
    <w:p w14:paraId="63EDB2F2" w14:textId="77777777" w:rsidR="00626B12" w:rsidRPr="00D074B8" w:rsidRDefault="00626B12" w:rsidP="00626B12">
      <w:pPr>
        <w:jc w:val="both"/>
        <w:rPr>
          <w:rFonts w:ascii="Times New Roman" w:hAnsi="Times New Roman" w:cs="Times New Roman"/>
          <w:color w:val="000000" w:themeColor="text1"/>
          <w:sz w:val="24"/>
          <w:szCs w:val="24"/>
        </w:rPr>
      </w:pPr>
      <w:r w:rsidRPr="0028618D">
        <w:rPr>
          <w:rFonts w:ascii="Times New Roman" w:hAnsi="Times New Roman" w:cs="Times New Roman"/>
          <w:color w:val="000000" w:themeColor="text1"/>
          <w:sz w:val="24"/>
          <w:szCs w:val="24"/>
          <w:lang w:val="ru" w:eastAsia="ru-RU"/>
        </w:rPr>
        <w:t>1</w:t>
      </w:r>
      <w:r>
        <w:rPr>
          <w:rFonts w:ascii="Times New Roman" w:hAnsi="Times New Roman" w:cs="Times New Roman"/>
          <w:color w:val="000000" w:themeColor="text1"/>
          <w:sz w:val="24"/>
          <w:szCs w:val="24"/>
          <w:lang w:val="ru" w:eastAsia="ru-RU"/>
        </w:rPr>
        <w:t>5</w:t>
      </w:r>
      <w:r w:rsidRPr="0028618D">
        <w:rPr>
          <w:rFonts w:ascii="Times New Roman" w:hAnsi="Times New Roman" w:cs="Times New Roman"/>
          <w:color w:val="000000" w:themeColor="text1"/>
          <w:sz w:val="24"/>
          <w:szCs w:val="24"/>
          <w:lang w:val="ru" w:eastAsia="ru-RU"/>
        </w:rPr>
        <w:t>. Приказ Минэкономразвития России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Доступ</w:t>
      </w:r>
      <w:r w:rsidRPr="00D074B8">
        <w:rPr>
          <w:rFonts w:ascii="Times New Roman" w:hAnsi="Times New Roman" w:cs="Times New Roman"/>
          <w:color w:val="000000" w:themeColor="text1"/>
          <w:sz w:val="24"/>
          <w:szCs w:val="24"/>
          <w:lang w:eastAsia="ru-RU"/>
        </w:rPr>
        <w:t xml:space="preserve"> </w:t>
      </w:r>
      <w:r w:rsidRPr="0028618D">
        <w:rPr>
          <w:rFonts w:ascii="Times New Roman" w:hAnsi="Times New Roman" w:cs="Times New Roman"/>
          <w:color w:val="000000" w:themeColor="text1"/>
          <w:sz w:val="24"/>
          <w:szCs w:val="24"/>
          <w:lang w:val="ru" w:eastAsia="ru-RU"/>
        </w:rPr>
        <w:t>из</w:t>
      </w:r>
      <w:r w:rsidRPr="00D074B8">
        <w:rPr>
          <w:rFonts w:ascii="Times New Roman" w:hAnsi="Times New Roman" w:cs="Times New Roman"/>
          <w:color w:val="000000" w:themeColor="text1"/>
          <w:sz w:val="24"/>
          <w:szCs w:val="24"/>
          <w:lang w:eastAsia="ru-RU"/>
        </w:rPr>
        <w:t xml:space="preserve"> </w:t>
      </w:r>
      <w:r w:rsidRPr="0028618D">
        <w:rPr>
          <w:rFonts w:ascii="Times New Roman" w:hAnsi="Times New Roman" w:cs="Times New Roman"/>
          <w:color w:val="000000" w:themeColor="text1"/>
          <w:sz w:val="24"/>
          <w:szCs w:val="24"/>
          <w:lang w:val="ru" w:eastAsia="ru-RU"/>
        </w:rPr>
        <w:t>справ</w:t>
      </w:r>
      <w:r w:rsidRPr="00D074B8">
        <w:rPr>
          <w:rFonts w:ascii="Times New Roman" w:hAnsi="Times New Roman" w:cs="Times New Roman"/>
          <w:color w:val="000000" w:themeColor="text1"/>
          <w:sz w:val="24"/>
          <w:szCs w:val="24"/>
          <w:lang w:eastAsia="ru-RU"/>
        </w:rPr>
        <w:t>.-</w:t>
      </w:r>
      <w:r w:rsidRPr="0028618D">
        <w:rPr>
          <w:rFonts w:ascii="Times New Roman" w:hAnsi="Times New Roman" w:cs="Times New Roman"/>
          <w:color w:val="000000" w:themeColor="text1"/>
          <w:sz w:val="24"/>
          <w:szCs w:val="24"/>
          <w:lang w:val="ru" w:eastAsia="ru-RU"/>
        </w:rPr>
        <w:t>правовой</w:t>
      </w:r>
      <w:r w:rsidRPr="00D074B8">
        <w:rPr>
          <w:rFonts w:ascii="Times New Roman" w:hAnsi="Times New Roman" w:cs="Times New Roman"/>
          <w:color w:val="000000" w:themeColor="text1"/>
          <w:sz w:val="24"/>
          <w:szCs w:val="24"/>
          <w:lang w:eastAsia="ru-RU"/>
        </w:rPr>
        <w:t xml:space="preserve"> </w:t>
      </w:r>
      <w:r w:rsidRPr="0028618D">
        <w:rPr>
          <w:rFonts w:ascii="Times New Roman" w:hAnsi="Times New Roman" w:cs="Times New Roman"/>
          <w:color w:val="000000" w:themeColor="text1"/>
          <w:sz w:val="24"/>
          <w:szCs w:val="24"/>
          <w:lang w:val="ru" w:eastAsia="ru-RU"/>
        </w:rPr>
        <w:t>системы</w:t>
      </w:r>
      <w:r w:rsidRPr="00D074B8">
        <w:rPr>
          <w:rFonts w:ascii="Times New Roman" w:hAnsi="Times New Roman" w:cs="Times New Roman"/>
          <w:color w:val="000000" w:themeColor="text1"/>
          <w:sz w:val="24"/>
          <w:szCs w:val="24"/>
          <w:lang w:eastAsia="ru-RU"/>
        </w:rPr>
        <w:t xml:space="preserve"> "</w:t>
      </w:r>
      <w:r w:rsidRPr="0028618D">
        <w:rPr>
          <w:rFonts w:ascii="Times New Roman" w:hAnsi="Times New Roman" w:cs="Times New Roman"/>
          <w:color w:val="000000" w:themeColor="text1"/>
          <w:sz w:val="24"/>
          <w:szCs w:val="24"/>
          <w:lang w:val="ru" w:eastAsia="ru-RU"/>
        </w:rPr>
        <w:t>КонсультантПлюс</w:t>
      </w:r>
      <w:r w:rsidRPr="00D074B8">
        <w:rPr>
          <w:rFonts w:ascii="Times New Roman" w:hAnsi="Times New Roman" w:cs="Times New Roman"/>
          <w:color w:val="000000" w:themeColor="text1"/>
          <w:sz w:val="24"/>
          <w:szCs w:val="24"/>
          <w:lang w:eastAsia="ru-RU"/>
        </w:rPr>
        <w:t>"</w:t>
      </w:r>
      <w:r w:rsidRPr="00D074B8">
        <w:rPr>
          <w:rFonts w:ascii="Times New Roman" w:hAnsi="Times New Roman" w:cs="Times New Roman"/>
          <w:color w:val="000000" w:themeColor="text1"/>
          <w:sz w:val="24"/>
          <w:szCs w:val="24"/>
        </w:rPr>
        <w:t>;</w:t>
      </w:r>
    </w:p>
    <w:p w14:paraId="30F6E008" w14:textId="77777777" w:rsidR="00626B12" w:rsidRPr="00A33C79" w:rsidRDefault="00626B12" w:rsidP="00626B12">
      <w:pPr>
        <w:jc w:val="both"/>
        <w:rPr>
          <w:rFonts w:ascii="Times New Roman" w:hAnsi="Times New Roman" w:cs="Times New Roman"/>
          <w:color w:val="000000" w:themeColor="text1"/>
          <w:sz w:val="24"/>
          <w:szCs w:val="24"/>
          <w:lang w:val="en-US" w:eastAsia="ru-RU"/>
        </w:rPr>
      </w:pPr>
      <w:r>
        <w:rPr>
          <w:rFonts w:ascii="Times New Roman" w:hAnsi="Times New Roman" w:cs="Times New Roman"/>
          <w:color w:val="000000" w:themeColor="text1"/>
          <w:sz w:val="24"/>
          <w:szCs w:val="24"/>
          <w:lang w:val="ru" w:eastAsia="ru-RU"/>
        </w:rPr>
        <w:t>16. </w:t>
      </w:r>
      <w:r w:rsidRPr="00A33C79">
        <w:rPr>
          <w:rFonts w:ascii="Times New Roman" w:hAnsi="Times New Roman" w:cs="Times New Roman"/>
          <w:color w:val="000000" w:themeColor="text1"/>
          <w:sz w:val="24"/>
          <w:szCs w:val="24"/>
          <w:lang w:val="ru" w:eastAsia="ru-RU"/>
        </w:rPr>
        <w:t xml:space="preserve">"ГОСТ Р ИСО 26000-2012. Национальный стандарт Российской Федерации. Руководство по социальной ответственности", утв. и введен в действие Приказом Росстандарта от 29.11.2012 N 1611-ст. </w:t>
      </w:r>
      <w:r w:rsidRPr="0028618D">
        <w:rPr>
          <w:rFonts w:ascii="Times New Roman" w:hAnsi="Times New Roman" w:cs="Times New Roman"/>
          <w:color w:val="000000" w:themeColor="text1"/>
          <w:sz w:val="24"/>
          <w:szCs w:val="24"/>
          <w:lang w:val="ru" w:eastAsia="ru-RU"/>
        </w:rPr>
        <w:t>Доступ</w:t>
      </w:r>
      <w:r w:rsidRPr="00A33C79">
        <w:rPr>
          <w:rFonts w:ascii="Times New Roman" w:hAnsi="Times New Roman" w:cs="Times New Roman"/>
          <w:color w:val="000000" w:themeColor="text1"/>
          <w:sz w:val="24"/>
          <w:szCs w:val="24"/>
          <w:lang w:val="en-US" w:eastAsia="ru-RU"/>
        </w:rPr>
        <w:t xml:space="preserve"> </w:t>
      </w:r>
      <w:r w:rsidRPr="0028618D">
        <w:rPr>
          <w:rFonts w:ascii="Times New Roman" w:hAnsi="Times New Roman" w:cs="Times New Roman"/>
          <w:color w:val="000000" w:themeColor="text1"/>
          <w:sz w:val="24"/>
          <w:szCs w:val="24"/>
          <w:lang w:val="ru" w:eastAsia="ru-RU"/>
        </w:rPr>
        <w:t>из</w:t>
      </w:r>
      <w:r w:rsidRPr="00A33C79">
        <w:rPr>
          <w:rFonts w:ascii="Times New Roman" w:hAnsi="Times New Roman" w:cs="Times New Roman"/>
          <w:color w:val="000000" w:themeColor="text1"/>
          <w:sz w:val="24"/>
          <w:szCs w:val="24"/>
          <w:lang w:val="en-US" w:eastAsia="ru-RU"/>
        </w:rPr>
        <w:t xml:space="preserve"> </w:t>
      </w:r>
      <w:r w:rsidRPr="0028618D">
        <w:rPr>
          <w:rFonts w:ascii="Times New Roman" w:hAnsi="Times New Roman" w:cs="Times New Roman"/>
          <w:color w:val="000000" w:themeColor="text1"/>
          <w:sz w:val="24"/>
          <w:szCs w:val="24"/>
          <w:lang w:val="ru" w:eastAsia="ru-RU"/>
        </w:rPr>
        <w:t>справ</w:t>
      </w:r>
      <w:r w:rsidRPr="00A33C79">
        <w:rPr>
          <w:rFonts w:ascii="Times New Roman" w:hAnsi="Times New Roman" w:cs="Times New Roman"/>
          <w:color w:val="000000" w:themeColor="text1"/>
          <w:sz w:val="24"/>
          <w:szCs w:val="24"/>
          <w:lang w:val="en-US" w:eastAsia="ru-RU"/>
        </w:rPr>
        <w:t>.-</w:t>
      </w:r>
      <w:r w:rsidRPr="0028618D">
        <w:rPr>
          <w:rFonts w:ascii="Times New Roman" w:hAnsi="Times New Roman" w:cs="Times New Roman"/>
          <w:color w:val="000000" w:themeColor="text1"/>
          <w:sz w:val="24"/>
          <w:szCs w:val="24"/>
          <w:lang w:val="ru" w:eastAsia="ru-RU"/>
        </w:rPr>
        <w:t>правовой</w:t>
      </w:r>
      <w:r w:rsidRPr="00A33C79">
        <w:rPr>
          <w:rFonts w:ascii="Times New Roman" w:hAnsi="Times New Roman" w:cs="Times New Roman"/>
          <w:color w:val="000000" w:themeColor="text1"/>
          <w:sz w:val="24"/>
          <w:szCs w:val="24"/>
          <w:lang w:val="en-US" w:eastAsia="ru-RU"/>
        </w:rPr>
        <w:t xml:space="preserve"> </w:t>
      </w:r>
      <w:r w:rsidRPr="0028618D">
        <w:rPr>
          <w:rFonts w:ascii="Times New Roman" w:hAnsi="Times New Roman" w:cs="Times New Roman"/>
          <w:color w:val="000000" w:themeColor="text1"/>
          <w:sz w:val="24"/>
          <w:szCs w:val="24"/>
          <w:lang w:val="ru" w:eastAsia="ru-RU"/>
        </w:rPr>
        <w:t>системы</w:t>
      </w:r>
      <w:r w:rsidRPr="00A33C79">
        <w:rPr>
          <w:rFonts w:ascii="Times New Roman" w:hAnsi="Times New Roman" w:cs="Times New Roman"/>
          <w:color w:val="000000" w:themeColor="text1"/>
          <w:sz w:val="24"/>
          <w:szCs w:val="24"/>
          <w:lang w:val="en-US" w:eastAsia="ru-RU"/>
        </w:rPr>
        <w:t xml:space="preserve"> "</w:t>
      </w:r>
      <w:r w:rsidRPr="0028618D">
        <w:rPr>
          <w:rFonts w:ascii="Times New Roman" w:hAnsi="Times New Roman" w:cs="Times New Roman"/>
          <w:color w:val="000000" w:themeColor="text1"/>
          <w:sz w:val="24"/>
          <w:szCs w:val="24"/>
          <w:lang w:val="ru" w:eastAsia="ru-RU"/>
        </w:rPr>
        <w:t>КонсультантПлюс</w:t>
      </w:r>
      <w:r w:rsidRPr="00A33C79">
        <w:rPr>
          <w:rFonts w:ascii="Times New Roman" w:hAnsi="Times New Roman" w:cs="Times New Roman"/>
          <w:color w:val="000000" w:themeColor="text1"/>
          <w:sz w:val="24"/>
          <w:szCs w:val="24"/>
          <w:lang w:val="en-US" w:eastAsia="ru-RU"/>
        </w:rPr>
        <w:t>";</w:t>
      </w:r>
    </w:p>
    <w:p w14:paraId="09FD5EE3" w14:textId="77777777" w:rsidR="00626B12" w:rsidRPr="0028618D" w:rsidRDefault="00626B12" w:rsidP="00626B12">
      <w:pPr>
        <w:jc w:val="both"/>
        <w:rPr>
          <w:rFonts w:ascii="Times New Roman" w:hAnsi="Times New Roman" w:cs="Times New Roman"/>
          <w:color w:val="000000" w:themeColor="text1"/>
          <w:sz w:val="24"/>
          <w:szCs w:val="24"/>
          <w:lang w:val="en-US" w:eastAsia="ru-RU"/>
        </w:rPr>
      </w:pPr>
      <w:r w:rsidRPr="0028618D">
        <w:rPr>
          <w:rFonts w:ascii="Times New Roman" w:hAnsi="Times New Roman" w:cs="Times New Roman"/>
          <w:color w:val="000000" w:themeColor="text1"/>
          <w:sz w:val="24"/>
          <w:szCs w:val="24"/>
          <w:lang w:val="en-US" w:eastAsia="ru-RU"/>
        </w:rPr>
        <w:t>1</w:t>
      </w:r>
      <w:r w:rsidRPr="00A33C79">
        <w:rPr>
          <w:rFonts w:ascii="Times New Roman" w:hAnsi="Times New Roman" w:cs="Times New Roman"/>
          <w:color w:val="000000" w:themeColor="text1"/>
          <w:sz w:val="24"/>
          <w:szCs w:val="24"/>
          <w:lang w:val="en-US" w:eastAsia="ru-RU"/>
        </w:rPr>
        <w:t>7</w:t>
      </w:r>
      <w:r w:rsidRPr="0028618D">
        <w:rPr>
          <w:rFonts w:ascii="Times New Roman" w:hAnsi="Times New Roman" w:cs="Times New Roman"/>
          <w:color w:val="000000" w:themeColor="text1"/>
          <w:sz w:val="24"/>
          <w:szCs w:val="24"/>
          <w:lang w:val="en-US" w:eastAsia="ru-RU"/>
        </w:rPr>
        <w:t>. Directive 2014/95/EU of the European Parliament and of the Council of 22 October 2014 amending Directive 2013/34/EU as regards disclosure of non-financial and diversity information by certain large undertakings and groups Text with EEA relevance // EUR-Lex. URL: https://eur-lex.europa.eu/legal-content/EN/TXT/?uri=celex%3A32014L0095).</w:t>
      </w:r>
    </w:p>
    <w:p w14:paraId="582DE4FC" w14:textId="77777777" w:rsidR="00626B12" w:rsidRPr="0028618D" w:rsidRDefault="00626B12" w:rsidP="00626B12">
      <w:pPr>
        <w:jc w:val="both"/>
        <w:rPr>
          <w:rFonts w:ascii="Times New Roman" w:hAnsi="Times New Roman" w:cs="Times New Roman"/>
          <w:color w:val="000000" w:themeColor="text1"/>
          <w:sz w:val="24"/>
          <w:szCs w:val="24"/>
          <w:lang w:val="ru" w:eastAsia="ru-RU"/>
        </w:rPr>
      </w:pPr>
      <w:r w:rsidRPr="0028618D">
        <w:rPr>
          <w:rFonts w:ascii="Times New Roman" w:hAnsi="Times New Roman" w:cs="Times New Roman"/>
          <w:color w:val="000000" w:themeColor="text1"/>
          <w:sz w:val="24"/>
          <w:szCs w:val="24"/>
          <w:lang w:val="ru" w:eastAsia="ru-RU"/>
        </w:rPr>
        <w:t>1</w:t>
      </w:r>
      <w:r>
        <w:rPr>
          <w:rFonts w:ascii="Times New Roman" w:hAnsi="Times New Roman" w:cs="Times New Roman"/>
          <w:color w:val="000000" w:themeColor="text1"/>
          <w:sz w:val="24"/>
          <w:szCs w:val="24"/>
          <w:lang w:val="ru" w:eastAsia="ru-RU"/>
        </w:rPr>
        <w:t>8</w:t>
      </w:r>
      <w:r w:rsidRPr="0028618D">
        <w:rPr>
          <w:rFonts w:ascii="Times New Roman" w:hAnsi="Times New Roman" w:cs="Times New Roman"/>
          <w:color w:val="000000" w:themeColor="text1"/>
          <w:sz w:val="24"/>
          <w:szCs w:val="24"/>
          <w:lang w:val="ru" w:eastAsia="ru-RU"/>
        </w:rPr>
        <w:t>. Предложение по Директиве по корпоративной отчетности в области устойчивого развития (CSRD). Официальный сайт Еврокомиссии [Электронный ресурс]. URL: https://ec.europa.eu/info/business-economy-euro/company-reporting-and-auditing/company-reporting/corporate-sustainability-reporting_en#review (дата обращения: 09.06.2022).</w:t>
      </w:r>
    </w:p>
    <w:p w14:paraId="7D58D96C" w14:textId="6B457048" w:rsidR="00D4443C" w:rsidRPr="00D4443C" w:rsidRDefault="00D4443C" w:rsidP="00D4443C">
      <w:pPr>
        <w:spacing w:after="0" w:line="240" w:lineRule="auto"/>
        <w:rPr>
          <w:rFonts w:ascii="Times New Roman" w:hAnsi="Times New Roman" w:cs="Times New Roman"/>
          <w:color w:val="000000" w:themeColor="text1"/>
          <w:sz w:val="24"/>
          <w:szCs w:val="24"/>
          <w:lang w:val="ru" w:eastAsia="ru-RU"/>
        </w:rPr>
      </w:pPr>
      <w:r w:rsidRPr="00D4443C">
        <w:rPr>
          <w:rFonts w:ascii="Times New Roman" w:hAnsi="Times New Roman" w:cs="Times New Roman"/>
          <w:color w:val="000000" w:themeColor="text1"/>
          <w:sz w:val="24"/>
          <w:szCs w:val="24"/>
          <w:lang w:val="ru" w:eastAsia="ru-RU"/>
        </w:rPr>
        <w:t>19. Источники информации:</w:t>
      </w:r>
    </w:p>
    <w:p w14:paraId="549A04A9"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17" w:anchor="review" w:history="1">
        <w:r w:rsidR="00D4443C" w:rsidRPr="003C6A96">
          <w:rPr>
            <w:rStyle w:val="aa"/>
            <w:rFonts w:ascii="Tahoma" w:hAnsi="Tahoma" w:cs="Tahoma"/>
            <w:iCs/>
            <w:color w:val="0000BF" w:themeColor="hyperlink" w:themeShade="BF"/>
            <w:sz w:val="20"/>
            <w:szCs w:val="20"/>
          </w:rPr>
          <w:t>https://finance.ec.europa.eu/capital-markets-union-and-financial-markets/company-reporting-and-auditing/company-reporting/corporate-sustainability-reporting_en#review</w:t>
        </w:r>
      </w:hyperlink>
    </w:p>
    <w:p w14:paraId="33B1ADF9"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18" w:history="1">
        <w:r w:rsidR="00D4443C" w:rsidRPr="003C6A96">
          <w:rPr>
            <w:rStyle w:val="aa"/>
            <w:rFonts w:ascii="Tahoma" w:hAnsi="Tahoma" w:cs="Tahoma"/>
            <w:iCs/>
            <w:color w:val="0000BF" w:themeColor="hyperlink" w:themeShade="BF"/>
            <w:sz w:val="20"/>
            <w:szCs w:val="20"/>
          </w:rPr>
          <w:t>https://www.europarl.europa.eu/RegData/etudes/BRIE/2021/654213/EPRS_BRI(2021)654213_EN.pdf</w:t>
        </w:r>
      </w:hyperlink>
    </w:p>
    <w:p w14:paraId="426BF67C"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19" w:history="1">
        <w:r w:rsidR="00D4443C" w:rsidRPr="003C6A96">
          <w:rPr>
            <w:rStyle w:val="aa"/>
            <w:rFonts w:ascii="Tahoma" w:hAnsi="Tahoma" w:cs="Tahoma"/>
            <w:iCs/>
            <w:color w:val="0000BF" w:themeColor="hyperlink" w:themeShade="BF"/>
            <w:sz w:val="20"/>
            <w:szCs w:val="20"/>
          </w:rPr>
          <w:t>https://www.datamaran.com/non-financial-reporting-directive/</w:t>
        </w:r>
      </w:hyperlink>
    </w:p>
    <w:p w14:paraId="42DBC265" w14:textId="77777777" w:rsidR="00D4443C" w:rsidRPr="003C6A96" w:rsidRDefault="00E152CE" w:rsidP="00D4443C">
      <w:pPr>
        <w:pStyle w:val="a6"/>
        <w:numPr>
          <w:ilvl w:val="0"/>
          <w:numId w:val="6"/>
        </w:numPr>
        <w:spacing w:after="0" w:line="240" w:lineRule="auto"/>
        <w:rPr>
          <w:rStyle w:val="aa"/>
          <w:rFonts w:ascii="Tahoma" w:hAnsi="Tahoma" w:cs="Tahoma"/>
          <w:iCs/>
          <w:color w:val="76923C" w:themeColor="accent3" w:themeShade="BF"/>
          <w:sz w:val="20"/>
          <w:szCs w:val="20"/>
        </w:rPr>
      </w:pPr>
      <w:hyperlink r:id="rId20" w:history="1">
        <w:r w:rsidR="00D4443C" w:rsidRPr="003C6A96">
          <w:rPr>
            <w:rStyle w:val="aa"/>
            <w:rFonts w:ascii="Tahoma" w:hAnsi="Tahoma" w:cs="Tahoma"/>
            <w:iCs/>
            <w:color w:val="0000BF" w:themeColor="hyperlink" w:themeShade="BF"/>
            <w:sz w:val="20"/>
            <w:szCs w:val="20"/>
          </w:rPr>
          <w:t>https://www.degruyter.com/document/doi/10.1515/ael-2018-0050/html</w:t>
        </w:r>
      </w:hyperlink>
    </w:p>
    <w:p w14:paraId="03BD843F"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21" w:history="1">
        <w:r w:rsidR="00D4443C" w:rsidRPr="003C6A96">
          <w:rPr>
            <w:rStyle w:val="aa"/>
            <w:rFonts w:ascii="Tahoma" w:hAnsi="Tahoma" w:cs="Tahoma"/>
            <w:iCs/>
            <w:sz w:val="20"/>
            <w:szCs w:val="20"/>
          </w:rPr>
          <w:t>https://www.iaasb.org/focus-areas/sustainability-assurance</w:t>
        </w:r>
      </w:hyperlink>
    </w:p>
    <w:p w14:paraId="1887196A" w14:textId="77777777" w:rsidR="00D4443C" w:rsidRPr="003C6A96" w:rsidRDefault="00E152CE" w:rsidP="00D4443C">
      <w:pPr>
        <w:pStyle w:val="a6"/>
        <w:numPr>
          <w:ilvl w:val="0"/>
          <w:numId w:val="6"/>
        </w:numPr>
        <w:spacing w:after="0" w:line="240" w:lineRule="auto"/>
        <w:rPr>
          <w:rStyle w:val="aa"/>
          <w:rFonts w:ascii="Tahoma" w:hAnsi="Tahoma" w:cs="Tahoma"/>
          <w:iCs/>
          <w:color w:val="76923C" w:themeColor="accent3" w:themeShade="BF"/>
          <w:sz w:val="20"/>
          <w:szCs w:val="20"/>
        </w:rPr>
      </w:pPr>
      <w:hyperlink r:id="rId22" w:history="1">
        <w:r w:rsidR="00D4443C" w:rsidRPr="003C6A96">
          <w:rPr>
            <w:rStyle w:val="aa"/>
            <w:rFonts w:ascii="Tahoma" w:hAnsi="Tahoma" w:cs="Tahoma"/>
            <w:iCs/>
            <w:sz w:val="20"/>
            <w:szCs w:val="20"/>
          </w:rPr>
          <w:t>https://papers.ssrn.com/sol3/papers.cfm?abstract_id=3083368</w:t>
        </w:r>
      </w:hyperlink>
    </w:p>
    <w:p w14:paraId="11E6B7A6"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23" w:history="1">
        <w:r w:rsidR="00D4443C" w:rsidRPr="003C6A96">
          <w:rPr>
            <w:rStyle w:val="aa"/>
            <w:rFonts w:ascii="Tahoma" w:hAnsi="Tahoma" w:cs="Tahoma"/>
            <w:iCs/>
            <w:sz w:val="20"/>
            <w:szCs w:val="20"/>
          </w:rPr>
          <w:t>https://www.accountancyeurope.eu/wp-content/uploads/Accountancy-Europe-NFI-assurance-practice_facthseet.pdf</w:t>
        </w:r>
      </w:hyperlink>
    </w:p>
    <w:p w14:paraId="5B20215C" w14:textId="77777777" w:rsidR="00D4443C" w:rsidRPr="003C6A96" w:rsidRDefault="00E152CE" w:rsidP="00D4443C">
      <w:pPr>
        <w:pStyle w:val="a6"/>
        <w:numPr>
          <w:ilvl w:val="0"/>
          <w:numId w:val="6"/>
        </w:numPr>
        <w:spacing w:after="0" w:line="240" w:lineRule="auto"/>
        <w:rPr>
          <w:rStyle w:val="aa"/>
          <w:rFonts w:ascii="Tahoma" w:hAnsi="Tahoma" w:cs="Tahoma"/>
          <w:iCs/>
          <w:color w:val="76923C" w:themeColor="accent3" w:themeShade="BF"/>
          <w:sz w:val="20"/>
          <w:szCs w:val="20"/>
        </w:rPr>
      </w:pPr>
      <w:hyperlink r:id="rId24" w:history="1">
        <w:r w:rsidR="00D4443C" w:rsidRPr="003C6A96">
          <w:rPr>
            <w:rStyle w:val="aa"/>
            <w:rFonts w:ascii="Tahoma" w:hAnsi="Tahoma" w:cs="Tahoma"/>
            <w:i/>
            <w:sz w:val="20"/>
            <w:szCs w:val="20"/>
          </w:rPr>
          <w:t>https://www.ifac.org/system/files/publications/files/IFAC-State-of-Play-in-Sustainability-Reporting-and-Assurance-2019-2020-date.pdf</w:t>
        </w:r>
      </w:hyperlink>
    </w:p>
    <w:p w14:paraId="7AACC041" w14:textId="77777777" w:rsidR="00D4443C" w:rsidRPr="003C6A96" w:rsidRDefault="00E152CE" w:rsidP="00D4443C">
      <w:pPr>
        <w:pStyle w:val="a6"/>
        <w:numPr>
          <w:ilvl w:val="0"/>
          <w:numId w:val="6"/>
        </w:numPr>
        <w:spacing w:after="0" w:line="240" w:lineRule="auto"/>
        <w:rPr>
          <w:rStyle w:val="aa"/>
          <w:rFonts w:ascii="Tahoma" w:hAnsi="Tahoma" w:cs="Tahoma"/>
          <w:iCs/>
          <w:color w:val="76923C" w:themeColor="accent3" w:themeShade="BF"/>
          <w:sz w:val="20"/>
          <w:szCs w:val="20"/>
        </w:rPr>
      </w:pPr>
      <w:hyperlink r:id="rId25" w:history="1">
        <w:r w:rsidR="00D4443C" w:rsidRPr="003C6A96">
          <w:rPr>
            <w:rStyle w:val="aa"/>
            <w:rFonts w:ascii="Tahoma" w:hAnsi="Tahoma" w:cs="Tahoma"/>
            <w:i/>
            <w:iCs/>
            <w:sz w:val="20"/>
            <w:szCs w:val="20"/>
          </w:rPr>
          <w:t>https://bschool.nus.edu.sg/cgs/wp-content/uploads/sites/7/2021/07/ACN-CGS-Corporate-Sustainability-Reporting-in-ASEAN-Countries-Report-2020.pdf</w:t>
        </w:r>
      </w:hyperlink>
    </w:p>
    <w:p w14:paraId="505864CA"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26" w:history="1">
        <w:r w:rsidR="00D4443C" w:rsidRPr="003C6A96">
          <w:rPr>
            <w:rStyle w:val="aa"/>
            <w:rFonts w:ascii="Tahoma" w:hAnsi="Tahoma" w:cs="Tahoma"/>
            <w:sz w:val="20"/>
            <w:szCs w:val="20"/>
          </w:rPr>
          <w:t>https://www.azeusconvene.com/articles/navigating-through-sgx-esg-disclosure-requirements</w:t>
        </w:r>
      </w:hyperlink>
      <w:r w:rsidR="00D4443C" w:rsidRPr="003C6A96">
        <w:rPr>
          <w:rFonts w:ascii="Tahoma" w:hAnsi="Tahoma" w:cs="Tahoma"/>
          <w:sz w:val="20"/>
          <w:szCs w:val="20"/>
        </w:rPr>
        <w:t xml:space="preserve"> </w:t>
      </w:r>
    </w:p>
    <w:p w14:paraId="6A1F77DD"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27" w:history="1">
        <w:r w:rsidR="00D4443C" w:rsidRPr="003C6A96">
          <w:rPr>
            <w:rStyle w:val="aa"/>
            <w:rFonts w:ascii="Tahoma" w:hAnsi="Tahoma" w:cs="Tahoma"/>
            <w:sz w:val="20"/>
            <w:szCs w:val="20"/>
          </w:rPr>
          <w:t>http://rulebook.sgx.com/rulebook/711a</w:t>
        </w:r>
      </w:hyperlink>
      <w:r w:rsidR="00D4443C" w:rsidRPr="003C6A96">
        <w:rPr>
          <w:rFonts w:ascii="Tahoma" w:hAnsi="Tahoma" w:cs="Tahoma"/>
          <w:sz w:val="20"/>
          <w:szCs w:val="20"/>
        </w:rPr>
        <w:t xml:space="preserve"> </w:t>
      </w:r>
    </w:p>
    <w:p w14:paraId="54465B5C" w14:textId="77777777" w:rsidR="00D4443C" w:rsidRPr="003C6A96" w:rsidRDefault="00E152CE" w:rsidP="00D4443C">
      <w:pPr>
        <w:pStyle w:val="a6"/>
        <w:numPr>
          <w:ilvl w:val="0"/>
          <w:numId w:val="6"/>
        </w:numPr>
        <w:spacing w:after="0" w:line="240" w:lineRule="auto"/>
        <w:rPr>
          <w:rFonts w:ascii="Tahoma" w:hAnsi="Tahoma" w:cs="Tahoma"/>
          <w:iCs/>
          <w:color w:val="76923C" w:themeColor="accent3" w:themeShade="BF"/>
          <w:sz w:val="20"/>
          <w:szCs w:val="20"/>
        </w:rPr>
      </w:pPr>
      <w:hyperlink r:id="rId28" w:history="1">
        <w:r w:rsidR="00D4443C" w:rsidRPr="003C6A96">
          <w:rPr>
            <w:rStyle w:val="aa"/>
            <w:rFonts w:ascii="Tahoma" w:hAnsi="Tahoma" w:cs="Tahoma"/>
            <w:sz w:val="20"/>
            <w:szCs w:val="20"/>
          </w:rPr>
          <w:t>https://www.jse.co.za/our-business/sustainability/jses-sustainability-and-climate-disclosure-guidance</w:t>
        </w:r>
      </w:hyperlink>
    </w:p>
    <w:p w14:paraId="2A2BBEDA" w14:textId="77777777" w:rsidR="00D4443C" w:rsidRPr="003C6A96" w:rsidRDefault="00D4443C" w:rsidP="00D4443C">
      <w:pPr>
        <w:pStyle w:val="a6"/>
        <w:numPr>
          <w:ilvl w:val="0"/>
          <w:numId w:val="6"/>
        </w:numPr>
        <w:spacing w:after="0" w:line="240" w:lineRule="auto"/>
        <w:rPr>
          <w:rFonts w:ascii="Tahoma" w:hAnsi="Tahoma" w:cs="Tahoma"/>
          <w:iCs/>
          <w:color w:val="76923C" w:themeColor="accent3" w:themeShade="BF"/>
          <w:sz w:val="20"/>
          <w:szCs w:val="20"/>
        </w:rPr>
      </w:pPr>
      <w:r w:rsidRPr="003C6A96">
        <w:rPr>
          <w:rFonts w:ascii="Tahoma" w:hAnsi="Tahoma" w:cs="Tahoma"/>
          <w:sz w:val="20"/>
          <w:szCs w:val="20"/>
        </w:rPr>
        <w:t>https://www.china-briefing.com/news/china-esg-reporting-disclosing-enterprise-environmental-information/</w:t>
      </w:r>
    </w:p>
    <w:p w14:paraId="73B66C10" w14:textId="77777777" w:rsidR="00626B12" w:rsidRDefault="00626B12" w:rsidP="00626B12">
      <w:pPr>
        <w:rPr>
          <w:rFonts w:ascii="Times New Roman" w:eastAsia="Times New Roman" w:hAnsi="Times New Roman" w:cs="Times New Roman"/>
          <w:b/>
          <w:sz w:val="24"/>
          <w:szCs w:val="24"/>
          <w:lang w:val="ru" w:eastAsia="ru-RU"/>
        </w:rPr>
      </w:pPr>
      <w:r>
        <w:rPr>
          <w:b/>
          <w:lang w:val="ru"/>
        </w:rPr>
        <w:br w:type="page"/>
      </w:r>
    </w:p>
    <w:p w14:paraId="385C9DD2" w14:textId="77777777" w:rsidR="00626B12" w:rsidRPr="003D431C" w:rsidRDefault="00626B12" w:rsidP="00626B12">
      <w:pPr>
        <w:pStyle w:val="1"/>
        <w:rPr>
          <w:rFonts w:ascii="Times New Roman" w:hAnsi="Times New Roman" w:cs="Times New Roman"/>
          <w:sz w:val="24"/>
          <w:szCs w:val="24"/>
        </w:rPr>
      </w:pPr>
      <w:bookmarkStart w:id="15" w:name="_Toc269117240"/>
      <w:bookmarkStart w:id="16" w:name="_Toc276480665"/>
      <w:bookmarkStart w:id="17" w:name="_Toc280628489"/>
      <w:bookmarkStart w:id="18" w:name="_Toc122016894"/>
      <w:bookmarkStart w:id="19" w:name="_Toc122443432"/>
      <w:bookmarkStart w:id="20" w:name="_Toc260234209"/>
      <w:bookmarkStart w:id="21" w:name="_Toc264538303"/>
      <w:r w:rsidRPr="003D431C">
        <w:rPr>
          <w:rFonts w:ascii="Times New Roman" w:hAnsi="Times New Roman" w:cs="Times New Roman"/>
          <w:sz w:val="24"/>
          <w:szCs w:val="24"/>
        </w:rPr>
        <w:t>Список используемых сокращений</w:t>
      </w:r>
      <w:bookmarkEnd w:id="15"/>
      <w:bookmarkEnd w:id="16"/>
      <w:bookmarkEnd w:id="17"/>
      <w:bookmarkEnd w:id="18"/>
      <w:bookmarkEnd w:id="19"/>
      <w:r w:rsidRPr="003D431C">
        <w:rPr>
          <w:rFonts w:ascii="Times New Roman" w:hAnsi="Times New Roman" w:cs="Times New Roman"/>
          <w:sz w:val="24"/>
          <w:szCs w:val="24"/>
        </w:rPr>
        <w:t xml:space="preserve"> </w:t>
      </w:r>
      <w:bookmarkEnd w:id="20"/>
      <w:bookmarkEnd w:id="21"/>
    </w:p>
    <w:p w14:paraId="541F4C71" w14:textId="77777777" w:rsidR="00626B12" w:rsidRDefault="00626B12" w:rsidP="00626B12">
      <w:pPr>
        <w:spacing w:after="0" w:line="240" w:lineRule="auto"/>
        <w:ind w:left="181" w:firstLine="709"/>
        <w:jc w:val="both"/>
        <w:rPr>
          <w:rFonts w:ascii="Times New Roman" w:hAnsi="Times New Roman" w:cs="Times New Roman"/>
          <w:sz w:val="24"/>
          <w:szCs w:val="24"/>
        </w:rPr>
      </w:pPr>
      <w:r w:rsidRPr="003D431C">
        <w:rPr>
          <w:rFonts w:ascii="Times New Roman" w:hAnsi="Times New Roman" w:cs="Times New Roman"/>
          <w:sz w:val="24"/>
          <w:szCs w:val="24"/>
        </w:rPr>
        <w:t>Перечень используемых сокращений приведен в таблице (см.</w:t>
      </w:r>
      <w:r>
        <w:rPr>
          <w:rFonts w:ascii="Times New Roman" w:hAnsi="Times New Roman" w:cs="Times New Roman"/>
          <w:sz w:val="24"/>
          <w:szCs w:val="24"/>
        </w:rPr>
        <w:t xml:space="preserve"> Таблица 4)</w:t>
      </w:r>
      <w:r w:rsidRPr="003D431C">
        <w:rPr>
          <w:rFonts w:ascii="Times New Roman" w:hAnsi="Times New Roman" w:cs="Times New Roman"/>
          <w:sz w:val="24"/>
          <w:szCs w:val="24"/>
        </w:rPr>
        <w:t>.</w:t>
      </w:r>
    </w:p>
    <w:p w14:paraId="4FC46C02" w14:textId="77777777" w:rsidR="00626B12" w:rsidRPr="003D431C" w:rsidRDefault="00626B12" w:rsidP="00626B12">
      <w:pPr>
        <w:spacing w:after="0" w:line="240" w:lineRule="auto"/>
        <w:ind w:left="181" w:firstLine="709"/>
        <w:jc w:val="both"/>
        <w:rPr>
          <w:rFonts w:ascii="Times New Roman" w:hAnsi="Times New Roman" w:cs="Times New Roman"/>
          <w:sz w:val="24"/>
          <w:szCs w:val="24"/>
        </w:rPr>
      </w:pPr>
    </w:p>
    <w:p w14:paraId="3D706437" w14:textId="53A67B90" w:rsidR="00626B12" w:rsidRDefault="00626B12" w:rsidP="00626B12">
      <w:pPr>
        <w:pStyle w:val="af6"/>
        <w:spacing w:before="0" w:after="0"/>
        <w:ind w:firstLine="709"/>
        <w:rPr>
          <w:szCs w:val="24"/>
        </w:rPr>
      </w:pPr>
      <w:bookmarkStart w:id="22" w:name="_Ref297383259"/>
      <w:bookmarkStart w:id="23" w:name="_Ref297644642"/>
      <w:r w:rsidRPr="003D431C">
        <w:rPr>
          <w:szCs w:val="24"/>
        </w:rPr>
        <w:t xml:space="preserve">Таблица </w:t>
      </w:r>
      <w:r>
        <w:rPr>
          <w:szCs w:val="24"/>
        </w:rPr>
        <w:t>4</w:t>
      </w:r>
      <w:bookmarkEnd w:id="22"/>
      <w:r w:rsidRPr="003D431C">
        <w:rPr>
          <w:szCs w:val="24"/>
        </w:rPr>
        <w:t xml:space="preserve"> «Перечень сокращений»</w:t>
      </w:r>
      <w:bookmarkEnd w:id="23"/>
    </w:p>
    <w:p w14:paraId="34DF3056" w14:textId="77777777" w:rsidR="00645C75" w:rsidRPr="00645C75" w:rsidRDefault="00645C75" w:rsidP="00645C75">
      <w:pPr>
        <w:rPr>
          <w:lang w:eastAsia="ru-RU"/>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411"/>
        <w:gridCol w:w="6914"/>
      </w:tblGrid>
      <w:tr w:rsidR="00626B12" w:rsidRPr="00BD6DB0" w14:paraId="287254E5" w14:textId="77777777" w:rsidTr="000B45C2">
        <w:trPr>
          <w:trHeight w:val="20"/>
          <w:tblHeader/>
        </w:trPr>
        <w:tc>
          <w:tcPr>
            <w:tcW w:w="1293" w:type="pct"/>
            <w:shd w:val="clear" w:color="auto" w:fill="CCCCCC"/>
          </w:tcPr>
          <w:p w14:paraId="1BC16381" w14:textId="77777777" w:rsidR="00626B12" w:rsidRPr="00BD6DB0" w:rsidRDefault="00626B12" w:rsidP="000B45C2">
            <w:pPr>
              <w:pStyle w:val="af8"/>
              <w:spacing w:after="0"/>
              <w:rPr>
                <w:szCs w:val="24"/>
              </w:rPr>
            </w:pPr>
            <w:r w:rsidRPr="00BD6DB0">
              <w:rPr>
                <w:szCs w:val="24"/>
              </w:rPr>
              <w:t>Сокращение</w:t>
            </w:r>
          </w:p>
        </w:tc>
        <w:tc>
          <w:tcPr>
            <w:tcW w:w="3707" w:type="pct"/>
            <w:shd w:val="clear" w:color="auto" w:fill="CCCCCC"/>
          </w:tcPr>
          <w:p w14:paraId="65131750" w14:textId="77777777" w:rsidR="00626B12" w:rsidRPr="00BD6DB0" w:rsidRDefault="00626B12" w:rsidP="000B45C2">
            <w:pPr>
              <w:pStyle w:val="af8"/>
              <w:spacing w:after="0"/>
              <w:rPr>
                <w:szCs w:val="24"/>
              </w:rPr>
            </w:pPr>
            <w:r w:rsidRPr="00BD6DB0">
              <w:rPr>
                <w:szCs w:val="24"/>
              </w:rPr>
              <w:t>Полное наименование</w:t>
            </w:r>
          </w:p>
        </w:tc>
      </w:tr>
      <w:tr w:rsidR="00626B12" w:rsidRPr="00BD6DB0" w14:paraId="50FFFBCE" w14:textId="77777777" w:rsidTr="00791431">
        <w:trPr>
          <w:trHeight w:val="675"/>
        </w:trPr>
        <w:tc>
          <w:tcPr>
            <w:tcW w:w="1293" w:type="pct"/>
          </w:tcPr>
          <w:p w14:paraId="452FA032" w14:textId="77777777" w:rsidR="00626B12" w:rsidRPr="00BD6DB0" w:rsidRDefault="00626B12" w:rsidP="000B45C2">
            <w:pPr>
              <w:autoSpaceDE w:val="0"/>
              <w:autoSpaceDN w:val="0"/>
              <w:adjustRightInd w:val="0"/>
              <w:spacing w:after="0" w:line="240" w:lineRule="auto"/>
              <w:jc w:val="both"/>
              <w:rPr>
                <w:rFonts w:ascii="Times New Roman" w:hAnsi="Times New Roman" w:cs="Times New Roman"/>
                <w:sz w:val="24"/>
                <w:szCs w:val="24"/>
                <w:lang w:val="en-US"/>
              </w:rPr>
            </w:pPr>
            <w:r w:rsidRPr="00BD6DB0">
              <w:rPr>
                <w:rFonts w:ascii="Times New Roman" w:hAnsi="Times New Roman" w:cs="Times New Roman"/>
                <w:iCs/>
                <w:sz w:val="24"/>
                <w:szCs w:val="24"/>
                <w:lang w:val="en-US"/>
              </w:rPr>
              <w:t>EFRAG</w:t>
            </w:r>
          </w:p>
        </w:tc>
        <w:tc>
          <w:tcPr>
            <w:tcW w:w="3707" w:type="pct"/>
          </w:tcPr>
          <w:p w14:paraId="4F21712F" w14:textId="5A4953F5" w:rsidR="00626B12" w:rsidRPr="00791431" w:rsidRDefault="00791431" w:rsidP="000D3FA6">
            <w:pPr>
              <w:widowControl w:val="0"/>
              <w:spacing w:after="0" w:line="240" w:lineRule="auto"/>
              <w:jc w:val="both"/>
            </w:pPr>
            <w:r w:rsidRPr="000D3FA6">
              <w:rPr>
                <w:rFonts w:ascii="Times New Roman" w:hAnsi="Times New Roman" w:cs="Times New Roman"/>
                <w:sz w:val="24"/>
                <w:szCs w:val="24"/>
                <w:lang w:val="en-US"/>
              </w:rPr>
              <w:t>European</w:t>
            </w:r>
            <w:r w:rsidRPr="00645C75">
              <w:rPr>
                <w:rFonts w:ascii="Times New Roman" w:hAnsi="Times New Roman" w:cs="Times New Roman"/>
                <w:sz w:val="24"/>
                <w:szCs w:val="24"/>
              </w:rPr>
              <w:t xml:space="preserve"> </w:t>
            </w:r>
            <w:r w:rsidRPr="000D3FA6">
              <w:rPr>
                <w:rFonts w:ascii="Times New Roman" w:hAnsi="Times New Roman" w:cs="Times New Roman"/>
                <w:sz w:val="24"/>
                <w:szCs w:val="24"/>
                <w:lang w:val="en-US"/>
              </w:rPr>
              <w:t>Financial</w:t>
            </w:r>
            <w:r w:rsidRPr="00645C75">
              <w:rPr>
                <w:rFonts w:ascii="Times New Roman" w:hAnsi="Times New Roman" w:cs="Times New Roman"/>
                <w:sz w:val="24"/>
                <w:szCs w:val="24"/>
              </w:rPr>
              <w:t xml:space="preserve"> </w:t>
            </w:r>
            <w:r w:rsidRPr="000D3FA6">
              <w:rPr>
                <w:rFonts w:ascii="Times New Roman" w:hAnsi="Times New Roman" w:cs="Times New Roman"/>
                <w:sz w:val="24"/>
                <w:szCs w:val="24"/>
                <w:lang w:val="en-US"/>
              </w:rPr>
              <w:t>Reporting</w:t>
            </w:r>
            <w:r w:rsidRPr="00645C75">
              <w:rPr>
                <w:rFonts w:ascii="Times New Roman" w:hAnsi="Times New Roman" w:cs="Times New Roman"/>
                <w:sz w:val="24"/>
                <w:szCs w:val="24"/>
              </w:rPr>
              <w:t xml:space="preserve"> </w:t>
            </w:r>
            <w:r w:rsidRPr="000D3FA6">
              <w:rPr>
                <w:rFonts w:ascii="Times New Roman" w:hAnsi="Times New Roman" w:cs="Times New Roman"/>
                <w:sz w:val="24"/>
                <w:szCs w:val="24"/>
                <w:lang w:val="en-US"/>
              </w:rPr>
              <w:t>Advisory</w:t>
            </w:r>
            <w:r w:rsidRPr="00645C75">
              <w:rPr>
                <w:rFonts w:ascii="Times New Roman" w:hAnsi="Times New Roman" w:cs="Times New Roman"/>
                <w:sz w:val="24"/>
                <w:szCs w:val="24"/>
              </w:rPr>
              <w:t xml:space="preserve"> </w:t>
            </w:r>
            <w:r w:rsidRPr="000D3FA6">
              <w:rPr>
                <w:rFonts w:ascii="Times New Roman" w:hAnsi="Times New Roman" w:cs="Times New Roman"/>
                <w:sz w:val="24"/>
                <w:szCs w:val="24"/>
                <w:lang w:val="en-US"/>
              </w:rPr>
              <w:t>Group</w:t>
            </w:r>
            <w:r w:rsidRPr="00645C75">
              <w:rPr>
                <w:rFonts w:ascii="Times New Roman" w:hAnsi="Times New Roman" w:cs="Times New Roman"/>
                <w:sz w:val="24"/>
                <w:szCs w:val="24"/>
              </w:rPr>
              <w:t xml:space="preserve"> - </w:t>
            </w:r>
            <w:r w:rsidR="008614C0" w:rsidRPr="00645C75">
              <w:rPr>
                <w:rFonts w:ascii="Times New Roman" w:hAnsi="Times New Roman" w:cs="Times New Roman"/>
                <w:sz w:val="24"/>
                <w:szCs w:val="24"/>
              </w:rPr>
              <w:t>Европейская консультативная группа по финансовой отчетности</w:t>
            </w:r>
          </w:p>
        </w:tc>
      </w:tr>
      <w:tr w:rsidR="00626B12" w:rsidRPr="00BD6DB0" w14:paraId="6F631FEF" w14:textId="77777777" w:rsidTr="000B45C2">
        <w:trPr>
          <w:trHeight w:val="20"/>
        </w:trPr>
        <w:tc>
          <w:tcPr>
            <w:tcW w:w="1293" w:type="pct"/>
          </w:tcPr>
          <w:p w14:paraId="076BDE9D" w14:textId="77777777" w:rsidR="00626B12" w:rsidRPr="00BD6DB0" w:rsidRDefault="00626B12" w:rsidP="000B45C2">
            <w:pPr>
              <w:spacing w:after="0" w:line="240" w:lineRule="auto"/>
              <w:jc w:val="both"/>
              <w:rPr>
                <w:rFonts w:ascii="Times New Roman" w:hAnsi="Times New Roman" w:cs="Times New Roman"/>
                <w:sz w:val="24"/>
                <w:szCs w:val="24"/>
                <w:lang w:val="en-US"/>
              </w:rPr>
            </w:pPr>
            <w:r w:rsidRPr="00BD6DB0">
              <w:rPr>
                <w:rFonts w:ascii="Times New Roman" w:hAnsi="Times New Roman" w:cs="Times New Roman"/>
                <w:iCs/>
                <w:sz w:val="24"/>
                <w:szCs w:val="24"/>
                <w:lang w:val="en-US"/>
              </w:rPr>
              <w:t>KPI</w:t>
            </w:r>
          </w:p>
        </w:tc>
        <w:tc>
          <w:tcPr>
            <w:tcW w:w="3707" w:type="pct"/>
          </w:tcPr>
          <w:p w14:paraId="5047D92B" w14:textId="76D8379A" w:rsidR="00626B12" w:rsidRPr="00BD6DB0" w:rsidRDefault="008614C0" w:rsidP="008614C0">
            <w:pPr>
              <w:widowControl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К</w:t>
            </w:r>
            <w:r w:rsidRPr="00737C20">
              <w:rPr>
                <w:rFonts w:ascii="Times New Roman" w:hAnsi="Times New Roman" w:cs="Times New Roman"/>
                <w:iCs/>
                <w:sz w:val="24"/>
                <w:szCs w:val="24"/>
              </w:rPr>
              <w:t>лючевы</w:t>
            </w:r>
            <w:r>
              <w:rPr>
                <w:rFonts w:ascii="Times New Roman" w:hAnsi="Times New Roman" w:cs="Times New Roman"/>
                <w:iCs/>
                <w:sz w:val="24"/>
                <w:szCs w:val="24"/>
              </w:rPr>
              <w:t>е</w:t>
            </w:r>
            <w:r w:rsidRPr="00737C20">
              <w:rPr>
                <w:rFonts w:ascii="Times New Roman" w:hAnsi="Times New Roman" w:cs="Times New Roman"/>
                <w:iCs/>
                <w:sz w:val="24"/>
                <w:szCs w:val="24"/>
              </w:rPr>
              <w:t xml:space="preserve"> показател</w:t>
            </w:r>
            <w:r>
              <w:rPr>
                <w:rFonts w:ascii="Times New Roman" w:hAnsi="Times New Roman" w:cs="Times New Roman"/>
                <w:iCs/>
                <w:sz w:val="24"/>
                <w:szCs w:val="24"/>
              </w:rPr>
              <w:t>и</w:t>
            </w:r>
            <w:r w:rsidRPr="00737C20">
              <w:rPr>
                <w:rFonts w:ascii="Times New Roman" w:hAnsi="Times New Roman" w:cs="Times New Roman"/>
                <w:iCs/>
                <w:sz w:val="24"/>
                <w:szCs w:val="24"/>
              </w:rPr>
              <w:t xml:space="preserve"> эффективности</w:t>
            </w:r>
          </w:p>
        </w:tc>
      </w:tr>
      <w:tr w:rsidR="00626B12" w:rsidRPr="00DB7DF0" w14:paraId="26A7BC5C" w14:textId="77777777" w:rsidTr="000B45C2">
        <w:trPr>
          <w:trHeight w:val="20"/>
        </w:trPr>
        <w:tc>
          <w:tcPr>
            <w:tcW w:w="1293" w:type="pct"/>
          </w:tcPr>
          <w:p w14:paraId="48CD0172" w14:textId="77777777" w:rsidR="00626B12" w:rsidRPr="00BD6DB0" w:rsidRDefault="00626B12" w:rsidP="000B45C2">
            <w:pPr>
              <w:spacing w:after="0" w:line="240" w:lineRule="auto"/>
              <w:jc w:val="both"/>
              <w:rPr>
                <w:rFonts w:ascii="Times New Roman" w:hAnsi="Times New Roman" w:cs="Times New Roman"/>
                <w:iCs/>
                <w:sz w:val="24"/>
                <w:szCs w:val="24"/>
                <w:lang w:val="en-US"/>
              </w:rPr>
            </w:pPr>
            <w:r w:rsidRPr="00BD6DB0">
              <w:rPr>
                <w:rFonts w:ascii="Times New Roman" w:hAnsi="Times New Roman" w:cs="Times New Roman"/>
                <w:iCs/>
                <w:sz w:val="24"/>
                <w:szCs w:val="24"/>
                <w:lang w:val="en-US"/>
              </w:rPr>
              <w:t>NFRD</w:t>
            </w:r>
          </w:p>
        </w:tc>
        <w:tc>
          <w:tcPr>
            <w:tcW w:w="3707" w:type="pct"/>
          </w:tcPr>
          <w:p w14:paraId="7BBD425C" w14:textId="2797A45C" w:rsidR="00626B12" w:rsidRPr="008614C0" w:rsidRDefault="00DB7DF0" w:rsidP="000D3FA6">
            <w:pPr>
              <w:widowControl w:val="0"/>
              <w:spacing w:after="0" w:line="240" w:lineRule="auto"/>
              <w:jc w:val="both"/>
              <w:rPr>
                <w:rFonts w:ascii="Times New Roman" w:hAnsi="Times New Roman" w:cs="Times New Roman"/>
                <w:sz w:val="24"/>
                <w:szCs w:val="24"/>
                <w:lang w:val="en-US"/>
              </w:rPr>
            </w:pPr>
            <w:r w:rsidRPr="00DB7DF0">
              <w:rPr>
                <w:rFonts w:ascii="Times New Roman" w:hAnsi="Times New Roman" w:cs="Times New Roman"/>
                <w:sz w:val="24"/>
                <w:szCs w:val="24"/>
                <w:lang w:val="en-US"/>
              </w:rPr>
              <w:t>Non-Financial Reporting Directive</w:t>
            </w:r>
            <w:r w:rsidR="008614C0">
              <w:rPr>
                <w:rFonts w:ascii="Times New Roman" w:hAnsi="Times New Roman" w:cs="Times New Roman"/>
                <w:sz w:val="24"/>
                <w:szCs w:val="24"/>
                <w:lang w:val="en-US"/>
              </w:rPr>
              <w:t xml:space="preserve"> – </w:t>
            </w:r>
            <w:r w:rsidR="008614C0">
              <w:rPr>
                <w:rFonts w:ascii="Times New Roman" w:hAnsi="Times New Roman" w:cs="Times New Roman"/>
                <w:sz w:val="24"/>
                <w:szCs w:val="24"/>
              </w:rPr>
              <w:t>Директива</w:t>
            </w:r>
            <w:r w:rsidR="008614C0" w:rsidRPr="008614C0">
              <w:rPr>
                <w:rFonts w:ascii="Times New Roman" w:hAnsi="Times New Roman" w:cs="Times New Roman"/>
                <w:sz w:val="24"/>
                <w:szCs w:val="24"/>
                <w:lang w:val="en-US"/>
              </w:rPr>
              <w:t xml:space="preserve"> </w:t>
            </w:r>
            <w:r w:rsidR="008614C0">
              <w:rPr>
                <w:rFonts w:ascii="Times New Roman" w:hAnsi="Times New Roman" w:cs="Times New Roman"/>
                <w:sz w:val="24"/>
                <w:szCs w:val="24"/>
              </w:rPr>
              <w:t>по</w:t>
            </w:r>
            <w:r w:rsidR="008614C0" w:rsidRPr="008614C0">
              <w:rPr>
                <w:rFonts w:ascii="Times New Roman" w:hAnsi="Times New Roman" w:cs="Times New Roman"/>
                <w:sz w:val="24"/>
                <w:szCs w:val="24"/>
                <w:lang w:val="en-US"/>
              </w:rPr>
              <w:t xml:space="preserve"> </w:t>
            </w:r>
            <w:r w:rsidR="008614C0">
              <w:rPr>
                <w:rFonts w:ascii="Times New Roman" w:hAnsi="Times New Roman" w:cs="Times New Roman"/>
                <w:sz w:val="24"/>
                <w:szCs w:val="24"/>
              </w:rPr>
              <w:t>нефинансовой</w:t>
            </w:r>
            <w:r w:rsidR="008614C0" w:rsidRPr="008614C0">
              <w:rPr>
                <w:rFonts w:ascii="Times New Roman" w:hAnsi="Times New Roman" w:cs="Times New Roman"/>
                <w:sz w:val="24"/>
                <w:szCs w:val="24"/>
                <w:lang w:val="en-US"/>
              </w:rPr>
              <w:t xml:space="preserve"> </w:t>
            </w:r>
            <w:r w:rsidR="008614C0">
              <w:rPr>
                <w:rFonts w:ascii="Times New Roman" w:hAnsi="Times New Roman" w:cs="Times New Roman"/>
                <w:sz w:val="24"/>
                <w:szCs w:val="24"/>
              </w:rPr>
              <w:t>отчетности</w:t>
            </w:r>
          </w:p>
        </w:tc>
      </w:tr>
      <w:tr w:rsidR="00626B12" w:rsidRPr="00BD6DB0" w14:paraId="01CB7DD8" w14:textId="77777777" w:rsidTr="000B45C2">
        <w:trPr>
          <w:trHeight w:val="20"/>
        </w:trPr>
        <w:tc>
          <w:tcPr>
            <w:tcW w:w="1293" w:type="pct"/>
          </w:tcPr>
          <w:p w14:paraId="0BF1CF7F" w14:textId="77777777" w:rsidR="00626B12" w:rsidRPr="00BD6DB0" w:rsidRDefault="00626B12" w:rsidP="000B45C2">
            <w:pPr>
              <w:autoSpaceDE w:val="0"/>
              <w:autoSpaceDN w:val="0"/>
              <w:adjustRightInd w:val="0"/>
              <w:spacing w:after="0" w:line="240" w:lineRule="auto"/>
              <w:jc w:val="both"/>
              <w:rPr>
                <w:rFonts w:ascii="Times New Roman" w:hAnsi="Times New Roman" w:cs="Times New Roman"/>
                <w:iCs/>
                <w:sz w:val="24"/>
                <w:szCs w:val="24"/>
                <w:lang w:val="en-US"/>
              </w:rPr>
            </w:pPr>
            <w:r w:rsidRPr="00BD6DB0">
              <w:rPr>
                <w:rFonts w:ascii="Times New Roman" w:hAnsi="Times New Roman" w:cs="Times New Roman"/>
                <w:iCs/>
                <w:sz w:val="24"/>
                <w:szCs w:val="24"/>
                <w:lang w:val="en-US"/>
              </w:rPr>
              <w:t>ISO 26000</w:t>
            </w:r>
          </w:p>
        </w:tc>
        <w:tc>
          <w:tcPr>
            <w:tcW w:w="3707" w:type="pct"/>
          </w:tcPr>
          <w:p w14:paraId="56B1E5D8" w14:textId="77777777" w:rsidR="00626B12" w:rsidRPr="003A4552" w:rsidRDefault="00626B12" w:rsidP="000B45C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Международный стандарт «Руководство по социальной ответственности» </w:t>
            </w:r>
            <w:r w:rsidRPr="003A4552">
              <w:rPr>
                <w:rFonts w:ascii="Times New Roman" w:hAnsi="Times New Roman" w:cs="Times New Roman"/>
                <w:sz w:val="24"/>
                <w:szCs w:val="24"/>
              </w:rPr>
              <w:t>[16]</w:t>
            </w:r>
          </w:p>
        </w:tc>
      </w:tr>
      <w:tr w:rsidR="00626B12" w:rsidRPr="00BD6DB0" w14:paraId="5136F0B4" w14:textId="77777777" w:rsidTr="000B45C2">
        <w:trPr>
          <w:trHeight w:val="20"/>
        </w:trPr>
        <w:tc>
          <w:tcPr>
            <w:tcW w:w="1293" w:type="pct"/>
          </w:tcPr>
          <w:p w14:paraId="76A769EF" w14:textId="77777777" w:rsidR="00626B12" w:rsidRPr="00BD6DB0" w:rsidRDefault="00626B12" w:rsidP="000B45C2">
            <w:pPr>
              <w:widowControl w:val="0"/>
              <w:spacing w:after="0" w:line="240" w:lineRule="auto"/>
              <w:rPr>
                <w:rFonts w:ascii="Times New Roman" w:hAnsi="Times New Roman" w:cs="Times New Roman"/>
                <w:sz w:val="24"/>
                <w:szCs w:val="24"/>
                <w:lang w:val="x-none"/>
              </w:rPr>
            </w:pPr>
            <w:r w:rsidRPr="00BD6DB0">
              <w:rPr>
                <w:rFonts w:ascii="Times New Roman" w:hAnsi="Times New Roman" w:cs="Times New Roman"/>
                <w:sz w:val="24"/>
                <w:szCs w:val="24"/>
                <w:lang w:val="ru" w:eastAsia="ru-RU"/>
              </w:rPr>
              <w:t>CSRD</w:t>
            </w:r>
          </w:p>
        </w:tc>
        <w:tc>
          <w:tcPr>
            <w:tcW w:w="3707" w:type="pct"/>
          </w:tcPr>
          <w:p w14:paraId="0F97E4F3" w14:textId="238E527D" w:rsidR="00626B12" w:rsidRPr="00BD6DB0" w:rsidRDefault="00791431" w:rsidP="000B45C2">
            <w:pPr>
              <w:widowControl w:val="0"/>
              <w:spacing w:after="0" w:line="240" w:lineRule="auto"/>
              <w:jc w:val="both"/>
              <w:rPr>
                <w:rFonts w:ascii="Times New Roman" w:hAnsi="Times New Roman" w:cs="Times New Roman"/>
                <w:sz w:val="24"/>
                <w:szCs w:val="24"/>
                <w:lang w:val="x-none"/>
              </w:rPr>
            </w:pPr>
            <w:r>
              <w:rPr>
                <w:rFonts w:ascii="Times New Roman" w:hAnsi="Times New Roman" w:cs="Times New Roman"/>
                <w:sz w:val="24"/>
                <w:szCs w:val="24"/>
                <w:lang w:val="en-US"/>
              </w:rPr>
              <w:t>Corporate</w:t>
            </w:r>
            <w:r w:rsidRPr="00791431">
              <w:rPr>
                <w:rFonts w:ascii="Times New Roman" w:hAnsi="Times New Roman" w:cs="Times New Roman"/>
                <w:sz w:val="24"/>
                <w:szCs w:val="24"/>
              </w:rPr>
              <w:t xml:space="preserve"> </w:t>
            </w:r>
            <w:r>
              <w:rPr>
                <w:rFonts w:ascii="Times New Roman" w:hAnsi="Times New Roman" w:cs="Times New Roman"/>
                <w:sz w:val="24"/>
                <w:szCs w:val="24"/>
                <w:lang w:val="en-US"/>
              </w:rPr>
              <w:t>Sustainability</w:t>
            </w:r>
            <w:r w:rsidRPr="00791431">
              <w:rPr>
                <w:rFonts w:ascii="Times New Roman" w:hAnsi="Times New Roman" w:cs="Times New Roman"/>
                <w:sz w:val="24"/>
                <w:szCs w:val="24"/>
              </w:rPr>
              <w:t xml:space="preserve"> </w:t>
            </w:r>
            <w:r>
              <w:rPr>
                <w:rFonts w:ascii="Times New Roman" w:hAnsi="Times New Roman" w:cs="Times New Roman"/>
                <w:sz w:val="24"/>
                <w:szCs w:val="24"/>
                <w:lang w:val="en-US"/>
              </w:rPr>
              <w:t>Reporting</w:t>
            </w:r>
            <w:r w:rsidRPr="00791431">
              <w:rPr>
                <w:rFonts w:ascii="Times New Roman" w:hAnsi="Times New Roman" w:cs="Times New Roman"/>
                <w:sz w:val="24"/>
                <w:szCs w:val="24"/>
              </w:rPr>
              <w:t xml:space="preserve"> </w:t>
            </w:r>
            <w:r w:rsidRPr="00DB7DF0">
              <w:rPr>
                <w:rFonts w:ascii="Times New Roman" w:hAnsi="Times New Roman" w:cs="Times New Roman"/>
                <w:sz w:val="24"/>
                <w:szCs w:val="24"/>
                <w:lang w:val="en-US"/>
              </w:rPr>
              <w:t>Directive</w:t>
            </w:r>
            <w:r w:rsidRPr="00791431">
              <w:rPr>
                <w:rFonts w:ascii="Times New Roman" w:hAnsi="Times New Roman" w:cs="Times New Roman"/>
                <w:sz w:val="24"/>
                <w:szCs w:val="24"/>
              </w:rPr>
              <w:t xml:space="preserve"> - </w:t>
            </w:r>
            <w:r w:rsidR="00626B12" w:rsidRPr="003A4552">
              <w:rPr>
                <w:rFonts w:ascii="Times New Roman" w:hAnsi="Times New Roman" w:cs="Times New Roman"/>
                <w:sz w:val="24"/>
                <w:szCs w:val="24"/>
              </w:rPr>
              <w:t>Директива по корпоративной отчетности в области устойчивого развития</w:t>
            </w:r>
            <w:r w:rsidR="00626B12">
              <w:rPr>
                <w:rFonts w:ascii="Arial" w:hAnsi="Arial" w:cs="Arial"/>
                <w:color w:val="4D5156"/>
                <w:sz w:val="21"/>
                <w:szCs w:val="21"/>
                <w:shd w:val="clear" w:color="auto" w:fill="FFFFFF"/>
              </w:rPr>
              <w:t> </w:t>
            </w:r>
            <w:r w:rsidR="00626B12" w:rsidRPr="003A4552">
              <w:rPr>
                <w:rFonts w:ascii="Times New Roman" w:hAnsi="Times New Roman" w:cs="Times New Roman"/>
                <w:sz w:val="24"/>
                <w:szCs w:val="24"/>
              </w:rPr>
              <w:t>[18]</w:t>
            </w:r>
          </w:p>
        </w:tc>
      </w:tr>
      <w:tr w:rsidR="00626B12" w:rsidRPr="00BD6DB0" w14:paraId="3323A0A1" w14:textId="77777777" w:rsidTr="000B45C2">
        <w:trPr>
          <w:trHeight w:val="20"/>
        </w:trPr>
        <w:tc>
          <w:tcPr>
            <w:tcW w:w="1293" w:type="pct"/>
          </w:tcPr>
          <w:p w14:paraId="14F78635" w14:textId="2C60934F" w:rsidR="00626B12" w:rsidRPr="001C0E92" w:rsidRDefault="001C0E92" w:rsidP="000B45C2">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GRI</w:t>
            </w:r>
          </w:p>
        </w:tc>
        <w:tc>
          <w:tcPr>
            <w:tcW w:w="3707" w:type="pct"/>
          </w:tcPr>
          <w:p w14:paraId="76E465D5" w14:textId="0D21B5D2" w:rsidR="00626B12" w:rsidRPr="001C0E92" w:rsidRDefault="001C0E92" w:rsidP="008614C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Global Reporting Initiative – </w:t>
            </w:r>
            <w:r w:rsidRPr="001C0E92">
              <w:rPr>
                <w:rFonts w:ascii="Times New Roman" w:hAnsi="Times New Roman" w:cs="Times New Roman"/>
                <w:sz w:val="24"/>
                <w:szCs w:val="24"/>
                <w:lang w:val="en-US"/>
              </w:rPr>
              <w:t>Глобальная инициатива по отчетности</w:t>
            </w:r>
            <w:r>
              <w:rPr>
                <w:rFonts w:ascii="Arial" w:hAnsi="Arial" w:cs="Arial"/>
                <w:color w:val="333333"/>
                <w:shd w:val="clear" w:color="auto" w:fill="FFFFFF"/>
              </w:rPr>
              <w:t> </w:t>
            </w:r>
          </w:p>
        </w:tc>
      </w:tr>
      <w:tr w:rsidR="00626B12" w:rsidRPr="001C0E92" w14:paraId="6DB62E1E" w14:textId="77777777" w:rsidTr="000B45C2">
        <w:trPr>
          <w:trHeight w:val="20"/>
        </w:trPr>
        <w:tc>
          <w:tcPr>
            <w:tcW w:w="1293" w:type="pct"/>
          </w:tcPr>
          <w:p w14:paraId="72C0D578" w14:textId="6BE7B995" w:rsidR="00626B12" w:rsidRPr="001C0E92" w:rsidRDefault="001C0E92" w:rsidP="000B45C2">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IIRC</w:t>
            </w:r>
          </w:p>
        </w:tc>
        <w:tc>
          <w:tcPr>
            <w:tcW w:w="3707" w:type="pct"/>
          </w:tcPr>
          <w:p w14:paraId="6ACA4B43" w14:textId="0F90D821" w:rsidR="00626B12" w:rsidRPr="001C0E92" w:rsidRDefault="001C0E92" w:rsidP="001C0E92">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International Integrating Reporting Council – </w:t>
            </w:r>
            <w:r>
              <w:rPr>
                <w:rFonts w:ascii="Times New Roman" w:hAnsi="Times New Roman" w:cs="Times New Roman"/>
                <w:sz w:val="24"/>
                <w:szCs w:val="24"/>
              </w:rPr>
              <w:t>Международный совет по интегрированной отчетности</w:t>
            </w:r>
          </w:p>
        </w:tc>
      </w:tr>
      <w:tr w:rsidR="001C0E92" w:rsidRPr="00BD6DB0" w14:paraId="424C92F4" w14:textId="77777777" w:rsidTr="000B45C2">
        <w:trPr>
          <w:trHeight w:val="20"/>
        </w:trPr>
        <w:tc>
          <w:tcPr>
            <w:tcW w:w="1293" w:type="pct"/>
          </w:tcPr>
          <w:p w14:paraId="6031A305" w14:textId="3A2DEC55" w:rsidR="001C0E92" w:rsidRDefault="001C0E92" w:rsidP="000B45C2">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TCFD</w:t>
            </w:r>
          </w:p>
        </w:tc>
        <w:tc>
          <w:tcPr>
            <w:tcW w:w="3707" w:type="pct"/>
          </w:tcPr>
          <w:p w14:paraId="6B47F345" w14:textId="4AE858B8" w:rsidR="001C0E92" w:rsidRPr="00645C75" w:rsidRDefault="001C0E92" w:rsidP="001C0E92">
            <w:pPr>
              <w:widowControl w:val="0"/>
              <w:spacing w:after="0" w:line="240" w:lineRule="auto"/>
              <w:jc w:val="both"/>
              <w:rPr>
                <w:rFonts w:ascii="Times New Roman" w:hAnsi="Times New Roman" w:cs="Times New Roman"/>
                <w:sz w:val="24"/>
                <w:szCs w:val="24"/>
              </w:rPr>
            </w:pPr>
            <w:r w:rsidRPr="001C0E92">
              <w:rPr>
                <w:rFonts w:ascii="Times New Roman" w:hAnsi="Times New Roman" w:cs="Times New Roman"/>
                <w:sz w:val="24"/>
                <w:szCs w:val="24"/>
                <w:lang w:val="en-US"/>
              </w:rPr>
              <w:t>Task</w:t>
            </w:r>
            <w:r w:rsidRPr="00645C75">
              <w:rPr>
                <w:rFonts w:ascii="Times New Roman" w:hAnsi="Times New Roman" w:cs="Times New Roman"/>
                <w:sz w:val="24"/>
                <w:szCs w:val="24"/>
              </w:rPr>
              <w:t xml:space="preserve"> </w:t>
            </w:r>
            <w:r w:rsidRPr="001C0E92">
              <w:rPr>
                <w:rFonts w:ascii="Times New Roman" w:hAnsi="Times New Roman" w:cs="Times New Roman"/>
                <w:sz w:val="24"/>
                <w:szCs w:val="24"/>
                <w:lang w:val="en-US"/>
              </w:rPr>
              <w:t>Force</w:t>
            </w:r>
            <w:r w:rsidRPr="00645C75">
              <w:rPr>
                <w:rFonts w:ascii="Times New Roman" w:hAnsi="Times New Roman" w:cs="Times New Roman"/>
                <w:sz w:val="24"/>
                <w:szCs w:val="24"/>
              </w:rPr>
              <w:t xml:space="preserve"> </w:t>
            </w:r>
            <w:r w:rsidRPr="001C0E92">
              <w:rPr>
                <w:rFonts w:ascii="Times New Roman" w:hAnsi="Times New Roman" w:cs="Times New Roman"/>
                <w:sz w:val="24"/>
                <w:szCs w:val="24"/>
                <w:lang w:val="en-US"/>
              </w:rPr>
              <w:t>on</w:t>
            </w:r>
            <w:r w:rsidRPr="00645C75">
              <w:rPr>
                <w:rFonts w:ascii="Times New Roman" w:hAnsi="Times New Roman" w:cs="Times New Roman"/>
                <w:sz w:val="24"/>
                <w:szCs w:val="24"/>
              </w:rPr>
              <w:t xml:space="preserve"> </w:t>
            </w:r>
            <w:r w:rsidRPr="001C0E92">
              <w:rPr>
                <w:rFonts w:ascii="Times New Roman" w:hAnsi="Times New Roman" w:cs="Times New Roman"/>
                <w:sz w:val="24"/>
                <w:szCs w:val="24"/>
                <w:lang w:val="en-US"/>
              </w:rPr>
              <w:t>Climate</w:t>
            </w:r>
            <w:r w:rsidRPr="00645C75">
              <w:rPr>
                <w:rFonts w:ascii="Times New Roman" w:hAnsi="Times New Roman" w:cs="Times New Roman"/>
                <w:sz w:val="24"/>
                <w:szCs w:val="24"/>
              </w:rPr>
              <w:t>-</w:t>
            </w:r>
            <w:r w:rsidRPr="001C0E92">
              <w:rPr>
                <w:rFonts w:ascii="Times New Roman" w:hAnsi="Times New Roman" w:cs="Times New Roman"/>
                <w:sz w:val="24"/>
                <w:szCs w:val="24"/>
                <w:lang w:val="en-US"/>
              </w:rPr>
              <w:t>related</w:t>
            </w:r>
            <w:r w:rsidRPr="00645C75">
              <w:rPr>
                <w:rFonts w:ascii="Times New Roman" w:hAnsi="Times New Roman" w:cs="Times New Roman"/>
                <w:sz w:val="24"/>
                <w:szCs w:val="24"/>
              </w:rPr>
              <w:t xml:space="preserve"> </w:t>
            </w:r>
            <w:r w:rsidRPr="001C0E92">
              <w:rPr>
                <w:rFonts w:ascii="Times New Roman" w:hAnsi="Times New Roman" w:cs="Times New Roman"/>
                <w:sz w:val="24"/>
                <w:szCs w:val="24"/>
                <w:lang w:val="en-US"/>
              </w:rPr>
              <w:t>Financial</w:t>
            </w:r>
            <w:r w:rsidRPr="00645C75">
              <w:rPr>
                <w:rFonts w:ascii="Times New Roman" w:hAnsi="Times New Roman" w:cs="Times New Roman"/>
                <w:sz w:val="24"/>
                <w:szCs w:val="24"/>
              </w:rPr>
              <w:t xml:space="preserve"> </w:t>
            </w:r>
            <w:r w:rsidRPr="001C0E92">
              <w:rPr>
                <w:rFonts w:ascii="Times New Roman" w:hAnsi="Times New Roman" w:cs="Times New Roman"/>
                <w:sz w:val="24"/>
                <w:szCs w:val="24"/>
                <w:lang w:val="en-US"/>
              </w:rPr>
              <w:t>Disclosures</w:t>
            </w:r>
            <w:r w:rsidRPr="00645C75">
              <w:rPr>
                <w:rFonts w:ascii="Times New Roman" w:hAnsi="Times New Roman" w:cs="Times New Roman"/>
                <w:sz w:val="24"/>
                <w:szCs w:val="24"/>
              </w:rPr>
              <w:t xml:space="preserve"> </w:t>
            </w:r>
            <w:proofErr w:type="gramStart"/>
            <w:r w:rsidRPr="00645C75">
              <w:rPr>
                <w:rFonts w:ascii="Times New Roman" w:hAnsi="Times New Roman" w:cs="Times New Roman"/>
                <w:sz w:val="24"/>
                <w:szCs w:val="24"/>
              </w:rPr>
              <w:t>–</w:t>
            </w:r>
            <w:r w:rsidRPr="001C0E92">
              <w:rPr>
                <w:rFonts w:ascii="Times New Roman" w:hAnsi="Times New Roman" w:cs="Times New Roman"/>
                <w:sz w:val="24"/>
                <w:szCs w:val="24"/>
                <w:lang w:val="en-US"/>
              </w:rPr>
              <w:t>  </w:t>
            </w:r>
            <w:r w:rsidRPr="00645C75">
              <w:rPr>
                <w:rFonts w:ascii="Times New Roman" w:hAnsi="Times New Roman" w:cs="Times New Roman"/>
                <w:sz w:val="24"/>
                <w:szCs w:val="24"/>
              </w:rPr>
              <w:t>Рабочая</w:t>
            </w:r>
            <w:proofErr w:type="gramEnd"/>
            <w:r w:rsidRPr="00645C75">
              <w:rPr>
                <w:rFonts w:ascii="Times New Roman" w:hAnsi="Times New Roman" w:cs="Times New Roman"/>
                <w:sz w:val="24"/>
                <w:szCs w:val="24"/>
              </w:rPr>
              <w:t xml:space="preserve"> группа по вопросам раскрытия финансовой информации, связанной с изменением климата, при международном Совете по финансовой стабильности</w:t>
            </w:r>
          </w:p>
        </w:tc>
      </w:tr>
      <w:tr w:rsidR="00626B12" w:rsidRPr="001C0E92" w14:paraId="3CF0E2DE" w14:textId="77777777" w:rsidTr="000B45C2">
        <w:trPr>
          <w:trHeight w:val="20"/>
        </w:trPr>
        <w:tc>
          <w:tcPr>
            <w:tcW w:w="1293" w:type="pct"/>
          </w:tcPr>
          <w:p w14:paraId="01141A95" w14:textId="585174AD" w:rsidR="00626B12" w:rsidRPr="001C0E92" w:rsidRDefault="001C0E92" w:rsidP="000B45C2">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SASB</w:t>
            </w:r>
          </w:p>
        </w:tc>
        <w:tc>
          <w:tcPr>
            <w:tcW w:w="3707" w:type="pct"/>
          </w:tcPr>
          <w:p w14:paraId="7B4C65F8" w14:textId="116381E4" w:rsidR="00626B12" w:rsidRPr="001C0E92" w:rsidRDefault="001C0E92" w:rsidP="001C0E9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Sustainability</w:t>
            </w:r>
            <w:r w:rsidRPr="001C0E92">
              <w:rPr>
                <w:rFonts w:ascii="Times New Roman" w:hAnsi="Times New Roman" w:cs="Times New Roman"/>
                <w:sz w:val="24"/>
                <w:szCs w:val="24"/>
              </w:rPr>
              <w:t xml:space="preserve"> </w:t>
            </w:r>
            <w:r>
              <w:rPr>
                <w:rFonts w:ascii="Times New Roman" w:hAnsi="Times New Roman" w:cs="Times New Roman"/>
                <w:sz w:val="24"/>
                <w:szCs w:val="24"/>
                <w:lang w:val="en-US"/>
              </w:rPr>
              <w:t>Accounting</w:t>
            </w:r>
            <w:r w:rsidRPr="001C0E92">
              <w:rPr>
                <w:rFonts w:ascii="Times New Roman" w:hAnsi="Times New Roman" w:cs="Times New Roman"/>
                <w:sz w:val="24"/>
                <w:szCs w:val="24"/>
              </w:rPr>
              <w:t xml:space="preserve"> </w:t>
            </w:r>
            <w:r>
              <w:rPr>
                <w:rFonts w:ascii="Times New Roman" w:hAnsi="Times New Roman" w:cs="Times New Roman"/>
                <w:sz w:val="24"/>
                <w:szCs w:val="24"/>
                <w:lang w:val="en-US"/>
              </w:rPr>
              <w:t>Standards</w:t>
            </w:r>
            <w:r w:rsidRPr="001C0E92">
              <w:rPr>
                <w:rFonts w:ascii="Times New Roman" w:hAnsi="Times New Roman" w:cs="Times New Roman"/>
                <w:sz w:val="24"/>
                <w:szCs w:val="24"/>
              </w:rPr>
              <w:t xml:space="preserve"> </w:t>
            </w:r>
            <w:r>
              <w:rPr>
                <w:rFonts w:ascii="Times New Roman" w:hAnsi="Times New Roman" w:cs="Times New Roman"/>
                <w:sz w:val="24"/>
                <w:szCs w:val="24"/>
                <w:lang w:val="en-US"/>
              </w:rPr>
              <w:t>Board</w:t>
            </w:r>
            <w:r w:rsidRPr="001C0E92">
              <w:rPr>
                <w:rFonts w:ascii="Times New Roman" w:hAnsi="Times New Roman" w:cs="Times New Roman"/>
                <w:sz w:val="24"/>
                <w:szCs w:val="24"/>
              </w:rPr>
              <w:t xml:space="preserve"> – </w:t>
            </w:r>
            <w:r>
              <w:rPr>
                <w:rFonts w:ascii="Times New Roman" w:hAnsi="Times New Roman" w:cs="Times New Roman"/>
                <w:sz w:val="24"/>
                <w:szCs w:val="24"/>
              </w:rPr>
              <w:t>Совет по стандартам в области устойчивого развития</w:t>
            </w:r>
          </w:p>
        </w:tc>
      </w:tr>
      <w:tr w:rsidR="001C0E92" w:rsidRPr="00BD6DB0" w14:paraId="18F8A13D" w14:textId="77777777" w:rsidTr="000B45C2">
        <w:trPr>
          <w:trHeight w:val="20"/>
        </w:trPr>
        <w:tc>
          <w:tcPr>
            <w:tcW w:w="1293" w:type="pct"/>
          </w:tcPr>
          <w:p w14:paraId="162BFDF2" w14:textId="77777777" w:rsidR="001C0E92" w:rsidRDefault="001C0E92" w:rsidP="00E20ED9">
            <w:pPr>
              <w:widowControl w:val="0"/>
              <w:spacing w:after="0" w:line="240" w:lineRule="auto"/>
              <w:rPr>
                <w:rFonts w:ascii="Times New Roman" w:hAnsi="Times New Roman" w:cs="Times New Roman"/>
                <w:sz w:val="24"/>
                <w:szCs w:val="24"/>
                <w:lang w:val="x-none"/>
              </w:rPr>
            </w:pPr>
            <w:r w:rsidRPr="00BD6DB0">
              <w:rPr>
                <w:rFonts w:ascii="Times New Roman" w:eastAsia="Arial Unicode MS" w:hAnsi="Times New Roman" w:cs="Times New Roman"/>
                <w:sz w:val="24"/>
                <w:szCs w:val="24"/>
                <w:lang w:eastAsia="ru-RU"/>
              </w:rPr>
              <w:t>ВЭБ.РФ</w:t>
            </w:r>
            <w:r w:rsidRPr="00BD6DB0">
              <w:rPr>
                <w:rFonts w:ascii="Times New Roman" w:hAnsi="Times New Roman" w:cs="Times New Roman"/>
                <w:sz w:val="24"/>
                <w:szCs w:val="24"/>
              </w:rPr>
              <w:t xml:space="preserve"> </w:t>
            </w:r>
            <w:r w:rsidRPr="00BD6DB0">
              <w:rPr>
                <w:rFonts w:ascii="Times New Roman" w:hAnsi="Times New Roman" w:cs="Times New Roman"/>
                <w:sz w:val="24"/>
                <w:szCs w:val="24"/>
                <w:shd w:val="clear" w:color="auto" w:fill="FFFFFF"/>
              </w:rPr>
              <w:t> </w:t>
            </w:r>
          </w:p>
          <w:p w14:paraId="17A9202B" w14:textId="77777777" w:rsidR="001C0E92" w:rsidRDefault="001C0E92" w:rsidP="000B45C2">
            <w:pPr>
              <w:widowControl w:val="0"/>
              <w:spacing w:after="0" w:line="240" w:lineRule="auto"/>
              <w:rPr>
                <w:rFonts w:ascii="Times New Roman" w:hAnsi="Times New Roman" w:cs="Times New Roman"/>
                <w:sz w:val="24"/>
                <w:szCs w:val="24"/>
                <w:lang w:val="en-US"/>
              </w:rPr>
            </w:pPr>
          </w:p>
        </w:tc>
        <w:tc>
          <w:tcPr>
            <w:tcW w:w="3707" w:type="pct"/>
          </w:tcPr>
          <w:p w14:paraId="4E43C565" w14:textId="30B9EFC1" w:rsidR="001C0E92" w:rsidRPr="00BD6DB0" w:rsidRDefault="001C0E92" w:rsidP="000B45C2">
            <w:pPr>
              <w:widowControl w:val="0"/>
              <w:spacing w:after="0" w:line="240" w:lineRule="auto"/>
              <w:jc w:val="both"/>
              <w:rPr>
                <w:rFonts w:ascii="Times New Roman" w:hAnsi="Times New Roman" w:cs="Times New Roman"/>
                <w:sz w:val="24"/>
                <w:szCs w:val="24"/>
                <w:lang w:val="x-none"/>
              </w:rPr>
            </w:pPr>
            <w:r w:rsidRPr="00BD6DB0">
              <w:rPr>
                <w:rFonts w:ascii="Times New Roman" w:hAnsi="Times New Roman" w:cs="Times New Roman"/>
                <w:sz w:val="24"/>
                <w:szCs w:val="24"/>
                <w:shd w:val="clear" w:color="auto" w:fill="FFFFFF"/>
              </w:rPr>
              <w:t>Российская государственная корпорация развития, государственный инвестиционный банк, финансирующий проекты развития экономики. Функционирует на основании специального федерального закона «О государственной корпорации развития ВЭБ.РФ»</w:t>
            </w:r>
            <w:r w:rsidRPr="003A4552">
              <w:rPr>
                <w:rFonts w:ascii="Times New Roman" w:hAnsi="Times New Roman" w:cs="Times New Roman"/>
                <w:sz w:val="24"/>
                <w:szCs w:val="24"/>
                <w:shd w:val="clear" w:color="auto" w:fill="FFFFFF"/>
              </w:rPr>
              <w:t xml:space="preserve"> </w:t>
            </w:r>
            <w:r w:rsidRPr="003A4552">
              <w:rPr>
                <w:rFonts w:ascii="Times New Roman" w:hAnsi="Times New Roman" w:cs="Times New Roman"/>
                <w:sz w:val="24"/>
                <w:szCs w:val="24"/>
              </w:rPr>
              <w:t>[4]</w:t>
            </w:r>
          </w:p>
        </w:tc>
      </w:tr>
      <w:tr w:rsidR="001C0E92" w:rsidRPr="00BD6DB0" w14:paraId="1EE87841" w14:textId="77777777" w:rsidTr="000B45C2">
        <w:trPr>
          <w:trHeight w:val="20"/>
        </w:trPr>
        <w:tc>
          <w:tcPr>
            <w:tcW w:w="1293" w:type="pct"/>
          </w:tcPr>
          <w:p w14:paraId="6C18A495" w14:textId="682F7EFD" w:rsidR="001C0E92" w:rsidRDefault="001C0E92" w:rsidP="000B45C2">
            <w:pPr>
              <w:widowControl w:val="0"/>
              <w:spacing w:after="0" w:line="240" w:lineRule="auto"/>
              <w:rPr>
                <w:rFonts w:ascii="Times New Roman" w:hAnsi="Times New Roman" w:cs="Times New Roman"/>
                <w:sz w:val="24"/>
                <w:szCs w:val="24"/>
                <w:lang w:val="en-US"/>
              </w:rPr>
            </w:pPr>
            <w:r w:rsidRPr="00BD6DB0">
              <w:rPr>
                <w:rFonts w:ascii="Times New Roman" w:hAnsi="Times New Roman" w:cs="Times New Roman"/>
                <w:sz w:val="24"/>
                <w:szCs w:val="24"/>
              </w:rPr>
              <w:t>СРО ААС</w:t>
            </w:r>
          </w:p>
        </w:tc>
        <w:tc>
          <w:tcPr>
            <w:tcW w:w="3707" w:type="pct"/>
          </w:tcPr>
          <w:p w14:paraId="086ED4DB" w14:textId="3DD6DC51" w:rsidR="001C0E92" w:rsidRPr="00BD6DB0" w:rsidRDefault="001C0E92" w:rsidP="000B45C2">
            <w:pPr>
              <w:widowControl w:val="0"/>
              <w:spacing w:after="0" w:line="240" w:lineRule="auto"/>
              <w:jc w:val="both"/>
              <w:rPr>
                <w:rFonts w:ascii="Times New Roman" w:hAnsi="Times New Roman" w:cs="Times New Roman"/>
                <w:sz w:val="24"/>
                <w:szCs w:val="24"/>
                <w:lang w:val="x-none"/>
              </w:rPr>
            </w:pPr>
            <w:r w:rsidRPr="00BD6DB0">
              <w:rPr>
                <w:rFonts w:ascii="Times New Roman" w:hAnsi="Times New Roman" w:cs="Times New Roman"/>
                <w:sz w:val="24"/>
                <w:szCs w:val="24"/>
              </w:rPr>
              <w:t xml:space="preserve">Саморегулируемая организация </w:t>
            </w:r>
            <w:r w:rsidR="00645C75">
              <w:rPr>
                <w:rFonts w:ascii="Times New Roman" w:hAnsi="Times New Roman" w:cs="Times New Roman"/>
                <w:sz w:val="24"/>
                <w:szCs w:val="24"/>
              </w:rPr>
              <w:t>аудиторов</w:t>
            </w:r>
            <w:r w:rsidRPr="00BD6DB0">
              <w:rPr>
                <w:rFonts w:ascii="Times New Roman" w:hAnsi="Times New Roman" w:cs="Times New Roman"/>
                <w:sz w:val="24"/>
                <w:szCs w:val="24"/>
                <w:shd w:val="clear" w:color="auto" w:fill="FFFFFF"/>
              </w:rPr>
              <w:t xml:space="preserve"> Ассоциация </w:t>
            </w:r>
            <w:r w:rsidR="00645C75">
              <w:rPr>
                <w:rFonts w:ascii="Times New Roman" w:hAnsi="Times New Roman" w:cs="Times New Roman"/>
                <w:sz w:val="24"/>
                <w:szCs w:val="24"/>
                <w:shd w:val="clear" w:color="auto" w:fill="FFFFFF"/>
              </w:rPr>
              <w:t>«</w:t>
            </w:r>
            <w:r w:rsidRPr="00BD6DB0">
              <w:rPr>
                <w:rFonts w:ascii="Times New Roman" w:hAnsi="Times New Roman" w:cs="Times New Roman"/>
                <w:sz w:val="24"/>
                <w:szCs w:val="24"/>
                <w:shd w:val="clear" w:color="auto" w:fill="FFFFFF"/>
              </w:rPr>
              <w:t>Содружество</w:t>
            </w:r>
            <w:r w:rsidR="00645C75">
              <w:rPr>
                <w:rFonts w:ascii="Times New Roman" w:hAnsi="Times New Roman" w:cs="Times New Roman"/>
                <w:sz w:val="24"/>
                <w:szCs w:val="24"/>
                <w:shd w:val="clear" w:color="auto" w:fill="FFFFFF"/>
              </w:rPr>
              <w:t>»</w:t>
            </w:r>
          </w:p>
        </w:tc>
      </w:tr>
    </w:tbl>
    <w:p w14:paraId="121031A1" w14:textId="77777777" w:rsidR="00626B12" w:rsidRPr="003D431C" w:rsidRDefault="00626B12" w:rsidP="00626B12">
      <w:pPr>
        <w:pStyle w:val="ab"/>
        <w:shd w:val="clear" w:color="auto" w:fill="FFFFFF"/>
        <w:ind w:firstLine="709"/>
        <w:jc w:val="both"/>
        <w:rPr>
          <w:b/>
        </w:rPr>
      </w:pPr>
    </w:p>
    <w:p w14:paraId="124CA5EA" w14:textId="77777777" w:rsidR="00626B12" w:rsidRPr="003D431C" w:rsidRDefault="00626B12" w:rsidP="00626B12">
      <w:pPr>
        <w:pStyle w:val="a4"/>
        <w:spacing w:after="0"/>
        <w:ind w:firstLine="709"/>
        <w:jc w:val="both"/>
        <w:rPr>
          <w:rFonts w:ascii="Times New Roman" w:hAnsi="Times New Roman" w:cs="Times New Roman"/>
          <w:sz w:val="24"/>
          <w:szCs w:val="24"/>
        </w:rPr>
      </w:pPr>
    </w:p>
    <w:p w14:paraId="2185ACDE" w14:textId="77777777" w:rsidR="00626B12" w:rsidRPr="003D431C" w:rsidRDefault="00626B12" w:rsidP="00626B12">
      <w:pPr>
        <w:spacing w:after="0" w:line="240" w:lineRule="auto"/>
        <w:ind w:firstLine="709"/>
        <w:jc w:val="both"/>
        <w:rPr>
          <w:rFonts w:ascii="Times New Roman" w:hAnsi="Times New Roman" w:cs="Times New Roman"/>
          <w:sz w:val="24"/>
          <w:szCs w:val="24"/>
        </w:rPr>
      </w:pPr>
    </w:p>
    <w:p w14:paraId="296F0795" w14:textId="77777777" w:rsidR="003A3ED8" w:rsidRPr="00737C20" w:rsidRDefault="003A3ED8" w:rsidP="00E945B7">
      <w:pPr>
        <w:spacing w:after="0" w:line="240" w:lineRule="auto"/>
        <w:jc w:val="both"/>
        <w:rPr>
          <w:rFonts w:ascii="Times New Roman" w:hAnsi="Times New Roman" w:cs="Times New Roman"/>
          <w:sz w:val="24"/>
          <w:szCs w:val="24"/>
        </w:rPr>
      </w:pPr>
    </w:p>
    <w:p w14:paraId="2382AF74" w14:textId="77777777" w:rsidR="003A3ED8" w:rsidRPr="00737C20" w:rsidRDefault="003A3ED8" w:rsidP="00E945B7">
      <w:pPr>
        <w:spacing w:after="0" w:line="240" w:lineRule="auto"/>
        <w:jc w:val="both"/>
        <w:rPr>
          <w:rFonts w:ascii="Times New Roman" w:hAnsi="Times New Roman" w:cs="Times New Roman"/>
          <w:sz w:val="24"/>
          <w:szCs w:val="24"/>
        </w:rPr>
      </w:pPr>
    </w:p>
    <w:p w14:paraId="6791C430" w14:textId="77777777" w:rsidR="003A3ED8" w:rsidRPr="00737C20" w:rsidRDefault="003A3ED8" w:rsidP="00E945B7">
      <w:pPr>
        <w:pStyle w:val="a4"/>
        <w:jc w:val="both"/>
        <w:rPr>
          <w:rFonts w:ascii="Times New Roman" w:hAnsi="Times New Roman" w:cs="Times New Roman"/>
          <w:sz w:val="24"/>
          <w:szCs w:val="24"/>
        </w:rPr>
      </w:pPr>
    </w:p>
    <w:p w14:paraId="5E20577A" w14:textId="77777777" w:rsidR="00EB31E0" w:rsidRPr="00737C20" w:rsidRDefault="00EB31E0" w:rsidP="00E945B7">
      <w:pPr>
        <w:jc w:val="both"/>
        <w:rPr>
          <w:rFonts w:ascii="Times New Roman" w:hAnsi="Times New Roman" w:cs="Times New Roman"/>
          <w:sz w:val="24"/>
          <w:szCs w:val="24"/>
        </w:rPr>
      </w:pPr>
    </w:p>
    <w:sectPr w:rsidR="00EB31E0" w:rsidRPr="00737C20" w:rsidSect="00645C75">
      <w:footerReference w:type="default" r:id="rId29"/>
      <w:pgSz w:w="11906" w:h="16838"/>
      <w:pgMar w:top="1134" w:right="850" w:bottom="1134" w:left="1701" w:header="708"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DEF5" w14:textId="77777777" w:rsidR="00E152CE" w:rsidRDefault="00E152CE" w:rsidP="00CC35F2">
      <w:pPr>
        <w:spacing w:after="0" w:line="240" w:lineRule="auto"/>
      </w:pPr>
      <w:r>
        <w:separator/>
      </w:r>
    </w:p>
  </w:endnote>
  <w:endnote w:type="continuationSeparator" w:id="0">
    <w:p w14:paraId="3015781A" w14:textId="77777777" w:rsidR="00E152CE" w:rsidRDefault="00E152CE" w:rsidP="00CC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tem Medium">
    <w:altName w:val="Stem Medium"/>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956056"/>
      <w:docPartObj>
        <w:docPartGallery w:val="Page Numbers (Bottom of Page)"/>
        <w:docPartUnique/>
      </w:docPartObj>
    </w:sdtPr>
    <w:sdtEndPr>
      <w:rPr>
        <w:rFonts w:ascii="Times New Roman" w:hAnsi="Times New Roman" w:cs="Times New Roman"/>
      </w:rPr>
    </w:sdtEndPr>
    <w:sdtContent>
      <w:p w14:paraId="357BF581" w14:textId="04EA6BDC" w:rsidR="00645C75" w:rsidRPr="00645C75" w:rsidRDefault="00645C75">
        <w:pPr>
          <w:pStyle w:val="afe"/>
          <w:jc w:val="right"/>
          <w:rPr>
            <w:rFonts w:ascii="Times New Roman" w:hAnsi="Times New Roman" w:cs="Times New Roman"/>
          </w:rPr>
        </w:pPr>
        <w:r w:rsidRPr="00645C75">
          <w:rPr>
            <w:rFonts w:ascii="Times New Roman" w:hAnsi="Times New Roman" w:cs="Times New Roman"/>
          </w:rPr>
          <w:t>с</w:t>
        </w:r>
        <w:sdt>
          <w:sdtPr>
            <w:rPr>
              <w:rFonts w:ascii="Times New Roman" w:hAnsi="Times New Roman" w:cs="Times New Roman"/>
            </w:rPr>
            <w:id w:val="-1769616900"/>
            <w:docPartObj>
              <w:docPartGallery w:val="Page Numbers (Top of Page)"/>
              <w:docPartUnique/>
            </w:docPartObj>
          </w:sdtPr>
          <w:sdtEndPr/>
          <w:sdtContent>
            <w:r w:rsidRPr="00645C75">
              <w:rPr>
                <w:rFonts w:ascii="Times New Roman" w:hAnsi="Times New Roman" w:cs="Times New Roman"/>
              </w:rPr>
              <w:t xml:space="preserve">тр. </w:t>
            </w:r>
            <w:r w:rsidRPr="00645C75">
              <w:rPr>
                <w:rFonts w:ascii="Times New Roman" w:hAnsi="Times New Roman" w:cs="Times New Roman"/>
                <w:sz w:val="24"/>
                <w:szCs w:val="24"/>
              </w:rPr>
              <w:fldChar w:fldCharType="begin"/>
            </w:r>
            <w:r w:rsidRPr="00645C75">
              <w:rPr>
                <w:rFonts w:ascii="Times New Roman" w:hAnsi="Times New Roman" w:cs="Times New Roman"/>
              </w:rPr>
              <w:instrText>PAGE</w:instrText>
            </w:r>
            <w:r w:rsidRPr="00645C75">
              <w:rPr>
                <w:rFonts w:ascii="Times New Roman" w:hAnsi="Times New Roman" w:cs="Times New Roman"/>
                <w:sz w:val="24"/>
                <w:szCs w:val="24"/>
              </w:rPr>
              <w:fldChar w:fldCharType="separate"/>
            </w:r>
            <w:r w:rsidRPr="00645C75">
              <w:rPr>
                <w:rFonts w:ascii="Times New Roman" w:hAnsi="Times New Roman" w:cs="Times New Roman"/>
              </w:rPr>
              <w:t>2</w:t>
            </w:r>
            <w:r w:rsidRPr="00645C75">
              <w:rPr>
                <w:rFonts w:ascii="Times New Roman" w:hAnsi="Times New Roman" w:cs="Times New Roman"/>
                <w:sz w:val="24"/>
                <w:szCs w:val="24"/>
              </w:rPr>
              <w:fldChar w:fldCharType="end"/>
            </w:r>
            <w:r w:rsidRPr="00645C75">
              <w:rPr>
                <w:rFonts w:ascii="Times New Roman" w:hAnsi="Times New Roman" w:cs="Times New Roman"/>
              </w:rPr>
              <w:t xml:space="preserve"> из </w:t>
            </w:r>
            <w:r w:rsidRPr="00645C75">
              <w:rPr>
                <w:rFonts w:ascii="Times New Roman" w:hAnsi="Times New Roman" w:cs="Times New Roman"/>
                <w:sz w:val="24"/>
                <w:szCs w:val="24"/>
              </w:rPr>
              <w:fldChar w:fldCharType="begin"/>
            </w:r>
            <w:r w:rsidRPr="00645C75">
              <w:rPr>
                <w:rFonts w:ascii="Times New Roman" w:hAnsi="Times New Roman" w:cs="Times New Roman"/>
              </w:rPr>
              <w:instrText>NUMPAGES</w:instrText>
            </w:r>
            <w:r w:rsidRPr="00645C75">
              <w:rPr>
                <w:rFonts w:ascii="Times New Roman" w:hAnsi="Times New Roman" w:cs="Times New Roman"/>
                <w:sz w:val="24"/>
                <w:szCs w:val="24"/>
              </w:rPr>
              <w:fldChar w:fldCharType="separate"/>
            </w:r>
            <w:r w:rsidRPr="00645C75">
              <w:rPr>
                <w:rFonts w:ascii="Times New Roman" w:hAnsi="Times New Roman" w:cs="Times New Roman"/>
              </w:rPr>
              <w:t>2</w:t>
            </w:r>
            <w:r w:rsidRPr="00645C75">
              <w:rPr>
                <w:rFonts w:ascii="Times New Roman" w:hAnsi="Times New Roman" w:cs="Times New Roman"/>
                <w:sz w:val="24"/>
                <w:szCs w:val="24"/>
              </w:rPr>
              <w:fldChar w:fldCharType="end"/>
            </w:r>
          </w:sdtContent>
        </w:sdt>
      </w:p>
    </w:sdtContent>
  </w:sdt>
  <w:p w14:paraId="3CE9FCAF" w14:textId="77777777" w:rsidR="00645C75" w:rsidRDefault="00645C75">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931C2" w14:textId="77777777" w:rsidR="00E152CE" w:rsidRDefault="00E152CE" w:rsidP="00CC35F2">
      <w:pPr>
        <w:spacing w:after="0" w:line="240" w:lineRule="auto"/>
      </w:pPr>
      <w:r>
        <w:separator/>
      </w:r>
    </w:p>
  </w:footnote>
  <w:footnote w:type="continuationSeparator" w:id="0">
    <w:p w14:paraId="4BE541F3" w14:textId="77777777" w:rsidR="00E152CE" w:rsidRDefault="00E152CE" w:rsidP="00CC35F2">
      <w:pPr>
        <w:spacing w:after="0" w:line="240" w:lineRule="auto"/>
      </w:pPr>
      <w:r>
        <w:continuationSeparator/>
      </w:r>
    </w:p>
  </w:footnote>
  <w:footnote w:id="1">
    <w:p w14:paraId="1385A853" w14:textId="4550A95E" w:rsidR="005D2C4A" w:rsidRDefault="005D2C4A">
      <w:pPr>
        <w:pStyle w:val="af0"/>
      </w:pPr>
      <w:r>
        <w:rPr>
          <w:rStyle w:val="af2"/>
        </w:rPr>
        <w:footnoteRef/>
      </w:r>
      <w:r>
        <w:t xml:space="preserve"> </w:t>
      </w:r>
      <w:r w:rsidRPr="009B2319">
        <w:rPr>
          <w:rFonts w:ascii="Times New Roman" w:hAnsi="Times New Roman" w:cs="Times New Roman"/>
        </w:rPr>
        <w:t xml:space="preserve">"...верификация: проверка, подтверждение правильности каких-либо положений, расчетных алгоритмов, программ и процедур путем их сопоставления с опытными (эталонными или эмпирическими) данными, алгоритмами и результатами..." (п.3.4 СП 22.13330.2016. Свод правил. Основания зданий и сооружений, утв. Приказом Минстроя России от 16.12.2016 </w:t>
      </w:r>
      <w:r>
        <w:rPr>
          <w:rFonts w:ascii="Times New Roman" w:hAnsi="Times New Roman" w:cs="Times New Roman"/>
        </w:rPr>
        <w:t>№</w:t>
      </w:r>
      <w:r w:rsidRPr="009B2319">
        <w:rPr>
          <w:rFonts w:ascii="Times New Roman" w:hAnsi="Times New Roman" w:cs="Times New Roman"/>
        </w:rPr>
        <w:t xml:space="preserve"> 970/пр.)</w:t>
      </w:r>
      <w:r>
        <w:rPr>
          <w:rFonts w:ascii="Times New Roman" w:hAnsi="Times New Roman" w:cs="Times New Roman"/>
        </w:rPr>
        <w:t>.</w:t>
      </w:r>
    </w:p>
  </w:footnote>
  <w:footnote w:id="2">
    <w:p w14:paraId="00B7B89B" w14:textId="4D9D1DEC" w:rsidR="00E8495A" w:rsidRDefault="00E8495A" w:rsidP="00DB7DF0">
      <w:pPr>
        <w:autoSpaceDE w:val="0"/>
        <w:autoSpaceDN w:val="0"/>
        <w:adjustRightInd w:val="0"/>
        <w:spacing w:after="0" w:line="240" w:lineRule="auto"/>
        <w:jc w:val="both"/>
      </w:pPr>
      <w:r>
        <w:rPr>
          <w:rStyle w:val="af2"/>
        </w:rPr>
        <w:footnoteRef/>
      </w:r>
      <w:r>
        <w:t xml:space="preserve"> </w:t>
      </w:r>
      <w:r w:rsidRPr="00E83EEB">
        <w:rPr>
          <w:rFonts w:ascii="Times New Roman" w:hAnsi="Times New Roman" w:cs="Times New Roman"/>
        </w:rPr>
        <w:t>"валидация" (</w:t>
      </w:r>
      <w:proofErr w:type="spellStart"/>
      <w:r w:rsidRPr="00E83EEB">
        <w:rPr>
          <w:rFonts w:ascii="Times New Roman" w:hAnsi="Times New Roman" w:cs="Times New Roman"/>
        </w:rPr>
        <w:t>validation</w:t>
      </w:r>
      <w:proofErr w:type="spellEnd"/>
      <w:r w:rsidRPr="00E83EEB">
        <w:rPr>
          <w:rFonts w:ascii="Times New Roman" w:hAnsi="Times New Roman" w:cs="Times New Roman"/>
        </w:rPr>
        <w:t>) - документальное подтверждение того, что процесс, проводимый в пределах установленных параметров, может осуществляться эффективно и с воспроизводимыми результатами (п.7 Решения Совета Евразийской экономической комиссии от 03.11.2016 № 81"Об утверждении Правил надлежащей лабораторной практики Евразийского экономического союза в сфере обращения лекарственных средств").</w:t>
      </w:r>
    </w:p>
  </w:footnote>
  <w:footnote w:id="3">
    <w:p w14:paraId="067ACEF9" w14:textId="77777777" w:rsidR="00BD046D" w:rsidRPr="00B8591F" w:rsidRDefault="00BD046D" w:rsidP="00BD046D">
      <w:pPr>
        <w:spacing w:after="0" w:line="240" w:lineRule="auto"/>
        <w:jc w:val="both"/>
        <w:rPr>
          <w:rFonts w:ascii="Times New Roman" w:hAnsi="Times New Roman" w:cs="Times New Roman"/>
          <w:sz w:val="24"/>
          <w:szCs w:val="24"/>
          <w:lang w:val="en-US"/>
        </w:rPr>
      </w:pPr>
      <w:r w:rsidRPr="001506D0">
        <w:rPr>
          <w:rStyle w:val="af2"/>
          <w:rFonts w:ascii="Times New Roman" w:hAnsi="Times New Roman" w:cs="Times New Roman"/>
          <w:sz w:val="24"/>
          <w:szCs w:val="24"/>
        </w:rPr>
        <w:footnoteRef/>
      </w:r>
      <w:r>
        <w:rPr>
          <w:rFonts w:ascii="Times New Roman" w:hAnsi="Times New Roman" w:cs="Times New Roman"/>
          <w:sz w:val="24"/>
          <w:szCs w:val="24"/>
        </w:rPr>
        <w:t> </w:t>
      </w:r>
      <w:r w:rsidRPr="00D613CE">
        <w:rPr>
          <w:rFonts w:ascii="Times New Roman" w:hAnsi="Times New Roman" w:cs="Times New Roman"/>
        </w:rPr>
        <w:t>Данные официального сайта «</w:t>
      </w:r>
      <w:proofErr w:type="spellStart"/>
      <w:r w:rsidRPr="00D613CE">
        <w:rPr>
          <w:rFonts w:ascii="Times New Roman" w:hAnsi="Times New Roman" w:cs="Times New Roman"/>
          <w:color w:val="333333"/>
          <w:spacing w:val="3"/>
          <w:shd w:val="clear" w:color="auto" w:fill="FFFFFF"/>
        </w:rPr>
        <w:t>Accountancy</w:t>
      </w:r>
      <w:proofErr w:type="spellEnd"/>
      <w:r w:rsidRPr="00D613CE">
        <w:rPr>
          <w:rFonts w:ascii="Times New Roman" w:hAnsi="Times New Roman" w:cs="Times New Roman"/>
          <w:color w:val="333333"/>
          <w:spacing w:val="3"/>
          <w:shd w:val="clear" w:color="auto" w:fill="FFFFFF"/>
        </w:rPr>
        <w:t xml:space="preserve"> Europe</w:t>
      </w:r>
      <w:r w:rsidRPr="00D613CE">
        <w:rPr>
          <w:rFonts w:ascii="Times New Roman" w:hAnsi="Times New Roman" w:cs="Times New Roman"/>
        </w:rPr>
        <w:t xml:space="preserve">». </w:t>
      </w:r>
      <w:r w:rsidRPr="00D613CE">
        <w:rPr>
          <w:rFonts w:ascii="Times New Roman" w:hAnsi="Times New Roman" w:cs="Times New Roman"/>
          <w:lang w:val="en-US"/>
        </w:rPr>
        <w:t>Towards Reliable non-financial information across Europe. Factsheet. AUDIT &amp; ASSURANCE. February</w:t>
      </w:r>
      <w:r w:rsidRPr="00B8591F">
        <w:rPr>
          <w:rFonts w:ascii="Times New Roman" w:hAnsi="Times New Roman" w:cs="Times New Roman"/>
          <w:lang w:val="en-US"/>
        </w:rPr>
        <w:t xml:space="preserve"> 2020. – </w:t>
      </w:r>
      <w:r w:rsidRPr="00D613CE">
        <w:rPr>
          <w:rFonts w:ascii="Times New Roman" w:hAnsi="Times New Roman" w:cs="Times New Roman"/>
        </w:rPr>
        <w:t>Текст</w:t>
      </w:r>
      <w:r w:rsidRPr="00B8591F">
        <w:rPr>
          <w:rFonts w:ascii="Times New Roman" w:hAnsi="Times New Roman" w:cs="Times New Roman"/>
          <w:lang w:val="en-US"/>
        </w:rPr>
        <w:t xml:space="preserve">: </w:t>
      </w:r>
      <w:r w:rsidRPr="00D613CE">
        <w:rPr>
          <w:rFonts w:ascii="Times New Roman" w:hAnsi="Times New Roman" w:cs="Times New Roman"/>
        </w:rPr>
        <w:t>электронный</w:t>
      </w:r>
      <w:r w:rsidRPr="00B8591F">
        <w:rPr>
          <w:rFonts w:ascii="Times New Roman" w:hAnsi="Times New Roman" w:cs="Times New Roman"/>
          <w:lang w:val="en-US"/>
        </w:rPr>
        <w:t xml:space="preserve">. – DOI </w:t>
      </w:r>
      <w:r w:rsidRPr="00D613CE">
        <w:rPr>
          <w:rFonts w:ascii="Times New Roman" w:hAnsi="Times New Roman" w:cs="Times New Roman"/>
        </w:rPr>
        <w:t>отсутствует</w:t>
      </w:r>
      <w:r w:rsidRPr="00B8591F">
        <w:rPr>
          <w:rFonts w:ascii="Times New Roman" w:hAnsi="Times New Roman" w:cs="Times New Roman"/>
          <w:lang w:val="en-US"/>
        </w:rPr>
        <w:t xml:space="preserve">. – URL: </w:t>
      </w:r>
      <w:r w:rsidRPr="00D613CE">
        <w:rPr>
          <w:rStyle w:val="aa"/>
          <w:rFonts w:ascii="Times New Roman" w:hAnsi="Times New Roman" w:cs="Times New Roman"/>
          <w:color w:val="auto"/>
          <w:u w:val="none"/>
          <w:lang w:val="en-US"/>
        </w:rPr>
        <w:t>https</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www</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accountancyeurope</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eu</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wp</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content</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uploads</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Accountancy</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Europe</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NFI</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assurance</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practice</w:t>
      </w:r>
      <w:r w:rsidRPr="00B8591F">
        <w:rPr>
          <w:rStyle w:val="aa"/>
          <w:rFonts w:ascii="Times New Roman" w:hAnsi="Times New Roman" w:cs="Times New Roman"/>
          <w:color w:val="auto"/>
          <w:u w:val="none"/>
          <w:lang w:val="en-US"/>
        </w:rPr>
        <w:t>_</w:t>
      </w:r>
      <w:r w:rsidRPr="00D613CE">
        <w:rPr>
          <w:rStyle w:val="aa"/>
          <w:rFonts w:ascii="Times New Roman" w:hAnsi="Times New Roman" w:cs="Times New Roman"/>
          <w:color w:val="auto"/>
          <w:u w:val="none"/>
          <w:lang w:val="en-US"/>
        </w:rPr>
        <w:t>facthseet</w:t>
      </w:r>
      <w:r w:rsidRPr="00B8591F">
        <w:rPr>
          <w:rStyle w:val="aa"/>
          <w:rFonts w:ascii="Times New Roman" w:hAnsi="Times New Roman" w:cs="Times New Roman"/>
          <w:color w:val="auto"/>
          <w:u w:val="none"/>
          <w:lang w:val="en-US"/>
        </w:rPr>
        <w:t>.</w:t>
      </w:r>
      <w:r w:rsidRPr="00D613CE">
        <w:rPr>
          <w:rStyle w:val="aa"/>
          <w:rFonts w:ascii="Times New Roman" w:hAnsi="Times New Roman" w:cs="Times New Roman"/>
          <w:color w:val="auto"/>
          <w:u w:val="none"/>
          <w:lang w:val="en-US"/>
        </w:rPr>
        <w:t>pdf</w:t>
      </w:r>
      <w:r w:rsidRPr="00B8591F">
        <w:rPr>
          <w:rFonts w:ascii="Times New Roman" w:hAnsi="Times New Roman" w:cs="Times New Roman"/>
          <w:lang w:val="en-US"/>
        </w:rPr>
        <w:t xml:space="preserve"> (</w:t>
      </w:r>
      <w:r w:rsidRPr="00D613CE">
        <w:rPr>
          <w:rFonts w:ascii="Times New Roman" w:hAnsi="Times New Roman" w:cs="Times New Roman"/>
        </w:rPr>
        <w:t>дата</w:t>
      </w:r>
      <w:r w:rsidRPr="00B8591F">
        <w:rPr>
          <w:rFonts w:ascii="Times New Roman" w:hAnsi="Times New Roman" w:cs="Times New Roman"/>
          <w:lang w:val="en-US"/>
        </w:rPr>
        <w:t xml:space="preserve"> </w:t>
      </w:r>
      <w:r w:rsidRPr="00D613CE">
        <w:rPr>
          <w:rFonts w:ascii="Times New Roman" w:hAnsi="Times New Roman" w:cs="Times New Roman"/>
        </w:rPr>
        <w:t>обращения</w:t>
      </w:r>
      <w:r w:rsidRPr="00B8591F">
        <w:rPr>
          <w:rFonts w:ascii="Times New Roman" w:hAnsi="Times New Roman" w:cs="Times New Roman"/>
          <w:lang w:val="en-US"/>
        </w:rPr>
        <w:t>: 19.12.2022).</w:t>
      </w:r>
    </w:p>
  </w:footnote>
  <w:footnote w:id="4">
    <w:p w14:paraId="2A596673" w14:textId="5F993ADA" w:rsidR="00AB3E06" w:rsidRPr="003C07CA" w:rsidRDefault="00AB3E06" w:rsidP="00AB3E06">
      <w:pPr>
        <w:spacing w:after="0" w:line="240" w:lineRule="auto"/>
        <w:jc w:val="both"/>
        <w:rPr>
          <w:rFonts w:ascii="Times New Roman" w:hAnsi="Times New Roman" w:cs="Times New Roman"/>
          <w:lang w:val="en-US"/>
        </w:rPr>
      </w:pPr>
      <w:r w:rsidRPr="00DF1D08">
        <w:rPr>
          <w:rStyle w:val="af2"/>
          <w:rFonts w:ascii="Times New Roman" w:hAnsi="Times New Roman" w:cs="Times New Roman"/>
        </w:rPr>
        <w:footnoteRef/>
      </w:r>
      <w:r w:rsidRPr="00DF1D08">
        <w:rPr>
          <w:rStyle w:val="af2"/>
          <w:rFonts w:ascii="Times New Roman" w:hAnsi="Times New Roman" w:cs="Times New Roman"/>
          <w:vertAlign w:val="baseline"/>
          <w:lang w:val="en-US"/>
        </w:rPr>
        <w:t> </w:t>
      </w:r>
      <w:r w:rsidR="003C07CA" w:rsidRPr="00D613CE">
        <w:rPr>
          <w:rFonts w:ascii="Times New Roman" w:hAnsi="Times New Roman" w:cs="Times New Roman"/>
        </w:rPr>
        <w:t>Данные официального сайта «</w:t>
      </w:r>
      <w:proofErr w:type="spellStart"/>
      <w:r w:rsidR="003C07CA" w:rsidRPr="00D613CE">
        <w:rPr>
          <w:rFonts w:ascii="Times New Roman" w:hAnsi="Times New Roman" w:cs="Times New Roman"/>
          <w:color w:val="333333"/>
          <w:spacing w:val="3"/>
          <w:shd w:val="clear" w:color="auto" w:fill="FFFFFF"/>
        </w:rPr>
        <w:t>Accountancy</w:t>
      </w:r>
      <w:proofErr w:type="spellEnd"/>
      <w:r w:rsidR="003C07CA" w:rsidRPr="00D613CE">
        <w:rPr>
          <w:rFonts w:ascii="Times New Roman" w:hAnsi="Times New Roman" w:cs="Times New Roman"/>
          <w:color w:val="333333"/>
          <w:spacing w:val="3"/>
          <w:shd w:val="clear" w:color="auto" w:fill="FFFFFF"/>
        </w:rPr>
        <w:t xml:space="preserve"> Europe</w:t>
      </w:r>
      <w:r w:rsidR="003C07CA" w:rsidRPr="00D613CE">
        <w:rPr>
          <w:rFonts w:ascii="Times New Roman" w:hAnsi="Times New Roman" w:cs="Times New Roman"/>
        </w:rPr>
        <w:t xml:space="preserve">». </w:t>
      </w:r>
      <w:r w:rsidR="003C07CA" w:rsidRPr="00D613CE">
        <w:rPr>
          <w:rFonts w:ascii="Times New Roman" w:hAnsi="Times New Roman" w:cs="Times New Roman"/>
          <w:lang w:val="en-US"/>
        </w:rPr>
        <w:t>Towards Reliable non-financial information across Europe. Factsheet. AUDIT &amp; ASSURANCE. February</w:t>
      </w:r>
      <w:r w:rsidR="003C07CA" w:rsidRPr="00B8591F">
        <w:rPr>
          <w:rFonts w:ascii="Times New Roman" w:hAnsi="Times New Roman" w:cs="Times New Roman"/>
          <w:lang w:val="en-US"/>
        </w:rPr>
        <w:t xml:space="preserve"> 2020. – </w:t>
      </w:r>
      <w:r w:rsidR="003C07CA" w:rsidRPr="00D613CE">
        <w:rPr>
          <w:rFonts w:ascii="Times New Roman" w:hAnsi="Times New Roman" w:cs="Times New Roman"/>
        </w:rPr>
        <w:t>Текст</w:t>
      </w:r>
      <w:r w:rsidR="003C07CA" w:rsidRPr="00B8591F">
        <w:rPr>
          <w:rFonts w:ascii="Times New Roman" w:hAnsi="Times New Roman" w:cs="Times New Roman"/>
          <w:lang w:val="en-US"/>
        </w:rPr>
        <w:t xml:space="preserve">: </w:t>
      </w:r>
      <w:r w:rsidR="003C07CA" w:rsidRPr="00D613CE">
        <w:rPr>
          <w:rFonts w:ascii="Times New Roman" w:hAnsi="Times New Roman" w:cs="Times New Roman"/>
        </w:rPr>
        <w:t>электронный</w:t>
      </w:r>
      <w:r w:rsidR="003C07CA" w:rsidRPr="00B8591F">
        <w:rPr>
          <w:rFonts w:ascii="Times New Roman" w:hAnsi="Times New Roman" w:cs="Times New Roman"/>
          <w:lang w:val="en-US"/>
        </w:rPr>
        <w:t xml:space="preserve">. – DOI </w:t>
      </w:r>
      <w:r w:rsidR="003C07CA" w:rsidRPr="00D613CE">
        <w:rPr>
          <w:rFonts w:ascii="Times New Roman" w:hAnsi="Times New Roman" w:cs="Times New Roman"/>
        </w:rPr>
        <w:t>отсутствует</w:t>
      </w:r>
      <w:r w:rsidR="003C07CA" w:rsidRPr="00B8591F">
        <w:rPr>
          <w:rFonts w:ascii="Times New Roman" w:hAnsi="Times New Roman" w:cs="Times New Roman"/>
          <w:lang w:val="en-US"/>
        </w:rPr>
        <w:t xml:space="preserve">. – URL: </w:t>
      </w:r>
      <w:r w:rsidR="003C07CA" w:rsidRPr="00D613CE">
        <w:rPr>
          <w:rStyle w:val="aa"/>
          <w:rFonts w:ascii="Times New Roman" w:hAnsi="Times New Roman" w:cs="Times New Roman"/>
          <w:color w:val="auto"/>
          <w:u w:val="none"/>
          <w:lang w:val="en-US"/>
        </w:rPr>
        <w:t>https</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www</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accountancyeurope</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eu</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wp</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content</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uploads</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Accountancy</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Europe</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NFI</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assurance</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practice</w:t>
      </w:r>
      <w:r w:rsidR="003C07CA" w:rsidRPr="00B8591F">
        <w:rPr>
          <w:rStyle w:val="aa"/>
          <w:rFonts w:ascii="Times New Roman" w:hAnsi="Times New Roman" w:cs="Times New Roman"/>
          <w:color w:val="auto"/>
          <w:u w:val="none"/>
          <w:lang w:val="en-US"/>
        </w:rPr>
        <w:t>_</w:t>
      </w:r>
      <w:r w:rsidR="003C07CA" w:rsidRPr="00D613CE">
        <w:rPr>
          <w:rStyle w:val="aa"/>
          <w:rFonts w:ascii="Times New Roman" w:hAnsi="Times New Roman" w:cs="Times New Roman"/>
          <w:color w:val="auto"/>
          <w:u w:val="none"/>
          <w:lang w:val="en-US"/>
        </w:rPr>
        <w:t>facthseet</w:t>
      </w:r>
      <w:r w:rsidR="003C07CA" w:rsidRPr="00B8591F">
        <w:rPr>
          <w:rStyle w:val="aa"/>
          <w:rFonts w:ascii="Times New Roman" w:hAnsi="Times New Roman" w:cs="Times New Roman"/>
          <w:color w:val="auto"/>
          <w:u w:val="none"/>
          <w:lang w:val="en-US"/>
        </w:rPr>
        <w:t>.</w:t>
      </w:r>
      <w:r w:rsidR="003C07CA" w:rsidRPr="00D613CE">
        <w:rPr>
          <w:rStyle w:val="aa"/>
          <w:rFonts w:ascii="Times New Roman" w:hAnsi="Times New Roman" w:cs="Times New Roman"/>
          <w:color w:val="auto"/>
          <w:u w:val="none"/>
          <w:lang w:val="en-US"/>
        </w:rPr>
        <w:t>pdf</w:t>
      </w:r>
      <w:r w:rsidR="003C07CA" w:rsidRPr="00B8591F">
        <w:rPr>
          <w:rFonts w:ascii="Times New Roman" w:hAnsi="Times New Roman" w:cs="Times New Roman"/>
          <w:lang w:val="en-US"/>
        </w:rPr>
        <w:t xml:space="preserve"> (</w:t>
      </w:r>
      <w:r w:rsidR="003C07CA" w:rsidRPr="00D613CE">
        <w:rPr>
          <w:rFonts w:ascii="Times New Roman" w:hAnsi="Times New Roman" w:cs="Times New Roman"/>
        </w:rPr>
        <w:t>дата</w:t>
      </w:r>
      <w:r w:rsidR="003C07CA" w:rsidRPr="00B8591F">
        <w:rPr>
          <w:rFonts w:ascii="Times New Roman" w:hAnsi="Times New Roman" w:cs="Times New Roman"/>
          <w:lang w:val="en-US"/>
        </w:rPr>
        <w:t xml:space="preserve"> </w:t>
      </w:r>
      <w:r w:rsidR="003C07CA" w:rsidRPr="00D613CE">
        <w:rPr>
          <w:rFonts w:ascii="Times New Roman" w:hAnsi="Times New Roman" w:cs="Times New Roman"/>
        </w:rPr>
        <w:t>обращения</w:t>
      </w:r>
      <w:r w:rsidR="003C07CA" w:rsidRPr="00B8591F">
        <w:rPr>
          <w:rFonts w:ascii="Times New Roman" w:hAnsi="Times New Roman" w:cs="Times New Roman"/>
          <w:lang w:val="en-US"/>
        </w:rPr>
        <w:t>: 19.12.2022).</w:t>
      </w:r>
    </w:p>
  </w:footnote>
  <w:footnote w:id="5">
    <w:p w14:paraId="04CE1A01" w14:textId="33CBEB0B" w:rsidR="00626B12" w:rsidRPr="004909FC" w:rsidRDefault="00626B12" w:rsidP="00626B12">
      <w:pPr>
        <w:spacing w:after="0" w:line="240" w:lineRule="auto"/>
        <w:jc w:val="both"/>
        <w:rPr>
          <w:rFonts w:ascii="Times New Roman" w:hAnsi="Times New Roman" w:cs="Times New Roman"/>
          <w:iCs/>
        </w:rPr>
      </w:pPr>
      <w:r w:rsidRPr="00DF1D08">
        <w:rPr>
          <w:rStyle w:val="af2"/>
          <w:rFonts w:ascii="Times New Roman" w:hAnsi="Times New Roman" w:cs="Times New Roman"/>
        </w:rPr>
        <w:footnoteRef/>
      </w:r>
      <w:r w:rsidRPr="004909FC">
        <w:rPr>
          <w:rStyle w:val="aa"/>
          <w:rFonts w:ascii="Times New Roman" w:hAnsi="Times New Roman" w:cs="Times New Roman"/>
          <w:iCs/>
          <w:color w:val="auto"/>
          <w:u w:val="none"/>
          <w:lang w:val="en-US"/>
        </w:rPr>
        <w:t>https</w:t>
      </w:r>
      <w:r w:rsidRPr="004909FC">
        <w:rPr>
          <w:rStyle w:val="aa"/>
          <w:rFonts w:ascii="Times New Roman" w:hAnsi="Times New Roman" w:cs="Times New Roman"/>
          <w:iCs/>
          <w:color w:val="auto"/>
          <w:u w:val="none"/>
        </w:rPr>
        <w:t>://</w:t>
      </w:r>
      <w:proofErr w:type="spellStart"/>
      <w:r w:rsidRPr="004909FC">
        <w:rPr>
          <w:rStyle w:val="aa"/>
          <w:rFonts w:ascii="Times New Roman" w:hAnsi="Times New Roman" w:cs="Times New Roman"/>
          <w:iCs/>
          <w:color w:val="auto"/>
          <w:u w:val="none"/>
          <w:lang w:val="en-US"/>
        </w:rPr>
        <w:t>bschool</w:t>
      </w:r>
      <w:proofErr w:type="spellEnd"/>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nus</w:t>
      </w:r>
      <w:r w:rsidRPr="004909FC">
        <w:rPr>
          <w:rStyle w:val="aa"/>
          <w:rFonts w:ascii="Times New Roman" w:hAnsi="Times New Roman" w:cs="Times New Roman"/>
          <w:iCs/>
          <w:color w:val="auto"/>
          <w:u w:val="none"/>
        </w:rPr>
        <w:t>.</w:t>
      </w:r>
      <w:proofErr w:type="spellStart"/>
      <w:r w:rsidRPr="004909FC">
        <w:rPr>
          <w:rStyle w:val="aa"/>
          <w:rFonts w:ascii="Times New Roman" w:hAnsi="Times New Roman" w:cs="Times New Roman"/>
          <w:iCs/>
          <w:color w:val="auto"/>
          <w:u w:val="none"/>
          <w:lang w:val="en-US"/>
        </w:rPr>
        <w:t>edu</w:t>
      </w:r>
      <w:proofErr w:type="spellEnd"/>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sg</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cgs</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wp</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content</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uploads</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sites</w:t>
      </w:r>
      <w:r w:rsidRPr="004909FC">
        <w:rPr>
          <w:rStyle w:val="aa"/>
          <w:rFonts w:ascii="Times New Roman" w:hAnsi="Times New Roman" w:cs="Times New Roman"/>
          <w:iCs/>
          <w:color w:val="auto"/>
          <w:u w:val="none"/>
        </w:rPr>
        <w:t>/7/2021/07/</w:t>
      </w:r>
      <w:r w:rsidRPr="004909FC">
        <w:rPr>
          <w:rStyle w:val="aa"/>
          <w:rFonts w:ascii="Times New Roman" w:hAnsi="Times New Roman" w:cs="Times New Roman"/>
          <w:iCs/>
          <w:color w:val="auto"/>
          <w:u w:val="none"/>
          <w:lang w:val="en-US"/>
        </w:rPr>
        <w:t>ACN</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CGS</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Corporate</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Sustainability</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Reporting</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in</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ASEAN</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Countries</w:t>
      </w:r>
      <w:r w:rsidRPr="004909FC">
        <w:rPr>
          <w:rStyle w:val="aa"/>
          <w:rFonts w:ascii="Times New Roman" w:hAnsi="Times New Roman" w:cs="Times New Roman"/>
          <w:iCs/>
          <w:color w:val="auto"/>
          <w:u w:val="none"/>
        </w:rPr>
        <w:t>-</w:t>
      </w:r>
      <w:r w:rsidRPr="004909FC">
        <w:rPr>
          <w:rStyle w:val="aa"/>
          <w:rFonts w:ascii="Times New Roman" w:hAnsi="Times New Roman" w:cs="Times New Roman"/>
          <w:iCs/>
          <w:color w:val="auto"/>
          <w:u w:val="none"/>
          <w:lang w:val="en-US"/>
        </w:rPr>
        <w:t>Report</w:t>
      </w:r>
      <w:r w:rsidRPr="004909FC">
        <w:rPr>
          <w:rStyle w:val="aa"/>
          <w:rFonts w:ascii="Times New Roman" w:hAnsi="Times New Roman" w:cs="Times New Roman"/>
          <w:iCs/>
          <w:color w:val="auto"/>
          <w:u w:val="none"/>
        </w:rPr>
        <w:t>-2020.</w:t>
      </w:r>
      <w:r w:rsidRPr="004909FC">
        <w:rPr>
          <w:rStyle w:val="aa"/>
          <w:rFonts w:ascii="Times New Roman" w:hAnsi="Times New Roman" w:cs="Times New Roman"/>
          <w:iCs/>
          <w:color w:val="auto"/>
          <w:u w:val="none"/>
          <w:lang w:val="en-US"/>
        </w:rPr>
        <w:t>pdf</w:t>
      </w:r>
      <w:r>
        <w:rPr>
          <w:rStyle w:val="aa"/>
          <w:rFonts w:ascii="Times New Roman" w:hAnsi="Times New Roman" w:cs="Times New Roman"/>
          <w:iCs/>
          <w:color w:val="auto"/>
          <w:u w:val="none"/>
        </w:rPr>
        <w:t xml:space="preserve"> </w:t>
      </w:r>
      <w:r w:rsidRPr="00503517">
        <w:rPr>
          <w:rFonts w:ascii="Times New Roman" w:hAnsi="Times New Roman" w:cs="Times New Roman"/>
        </w:rPr>
        <w:t>(</w:t>
      </w:r>
      <w:r w:rsidRPr="00D613CE">
        <w:rPr>
          <w:rFonts w:ascii="Times New Roman" w:hAnsi="Times New Roman" w:cs="Times New Roman"/>
        </w:rPr>
        <w:t>дата</w:t>
      </w:r>
      <w:r w:rsidRPr="00503517">
        <w:rPr>
          <w:rFonts w:ascii="Times New Roman" w:hAnsi="Times New Roman" w:cs="Times New Roman"/>
        </w:rPr>
        <w:t xml:space="preserve"> </w:t>
      </w:r>
      <w:r w:rsidRPr="00D613CE">
        <w:rPr>
          <w:rFonts w:ascii="Times New Roman" w:hAnsi="Times New Roman" w:cs="Times New Roman"/>
        </w:rPr>
        <w:t>обращения</w:t>
      </w:r>
      <w:r w:rsidRPr="00503517">
        <w:rPr>
          <w:rFonts w:ascii="Times New Roman" w:hAnsi="Times New Roman" w:cs="Times New Roman"/>
        </w:rPr>
        <w:t>: 19.12.2022</w:t>
      </w:r>
      <w:r w:rsidRPr="004909FC">
        <w:rPr>
          <w:rFonts w:ascii="Times New Roman" w:hAnsi="Times New Roman" w:cs="Times New Roman"/>
        </w:rPr>
        <w:t>).</w:t>
      </w:r>
    </w:p>
  </w:footnote>
  <w:footnote w:id="6">
    <w:p w14:paraId="15B61EFE" w14:textId="3104D133" w:rsidR="00626B12" w:rsidRPr="004909FC" w:rsidRDefault="00626B12" w:rsidP="00626B12">
      <w:pPr>
        <w:spacing w:after="0" w:line="240" w:lineRule="auto"/>
        <w:jc w:val="both"/>
        <w:rPr>
          <w:rFonts w:ascii="Times New Roman" w:hAnsi="Times New Roman" w:cs="Times New Roman"/>
          <w:iCs/>
        </w:rPr>
      </w:pPr>
      <w:r w:rsidRPr="00DF1D08">
        <w:rPr>
          <w:rStyle w:val="af2"/>
          <w:rFonts w:ascii="Times New Roman" w:hAnsi="Times New Roman" w:cs="Times New Roman"/>
        </w:rPr>
        <w:footnoteRef/>
      </w:r>
      <w:r>
        <w:rPr>
          <w:rStyle w:val="aa"/>
          <w:rFonts w:ascii="Times New Roman" w:hAnsi="Times New Roman" w:cs="Times New Roman"/>
          <w:color w:val="auto"/>
          <w:u w:val="none"/>
        </w:rPr>
        <w:t xml:space="preserve"> </w:t>
      </w:r>
      <w:r w:rsidRPr="004909FC">
        <w:rPr>
          <w:rFonts w:ascii="Times New Roman" w:hAnsi="Times New Roman" w:cs="Times New Roman"/>
          <w:lang w:val="en-US"/>
        </w:rPr>
        <w:t>https</w:t>
      </w:r>
      <w:r w:rsidRPr="004909FC">
        <w:rPr>
          <w:rFonts w:ascii="Times New Roman" w:hAnsi="Times New Roman" w:cs="Times New Roman"/>
        </w:rPr>
        <w:t>://</w:t>
      </w:r>
      <w:r w:rsidRPr="004909FC">
        <w:rPr>
          <w:rFonts w:ascii="Times New Roman" w:hAnsi="Times New Roman" w:cs="Times New Roman"/>
          <w:lang w:val="en-US"/>
        </w:rPr>
        <w:t>www</w:t>
      </w:r>
      <w:r w:rsidRPr="004909FC">
        <w:rPr>
          <w:rFonts w:ascii="Times New Roman" w:hAnsi="Times New Roman" w:cs="Times New Roman"/>
        </w:rPr>
        <w:t>.</w:t>
      </w:r>
      <w:proofErr w:type="spellStart"/>
      <w:r w:rsidRPr="004909FC">
        <w:rPr>
          <w:rFonts w:ascii="Times New Roman" w:hAnsi="Times New Roman" w:cs="Times New Roman"/>
          <w:lang w:val="en-US"/>
        </w:rPr>
        <w:t>ifac</w:t>
      </w:r>
      <w:proofErr w:type="spellEnd"/>
      <w:r w:rsidRPr="004909FC">
        <w:rPr>
          <w:rFonts w:ascii="Times New Roman" w:hAnsi="Times New Roman" w:cs="Times New Roman"/>
        </w:rPr>
        <w:t>.</w:t>
      </w:r>
      <w:r w:rsidRPr="004909FC">
        <w:rPr>
          <w:rFonts w:ascii="Times New Roman" w:hAnsi="Times New Roman" w:cs="Times New Roman"/>
          <w:lang w:val="en-US"/>
        </w:rPr>
        <w:t>org</w:t>
      </w:r>
      <w:r w:rsidRPr="004909FC">
        <w:rPr>
          <w:rFonts w:ascii="Times New Roman" w:hAnsi="Times New Roman" w:cs="Times New Roman"/>
        </w:rPr>
        <w:t>/</w:t>
      </w:r>
      <w:r w:rsidRPr="004909FC">
        <w:rPr>
          <w:rFonts w:ascii="Times New Roman" w:hAnsi="Times New Roman" w:cs="Times New Roman"/>
          <w:lang w:val="en-US"/>
        </w:rPr>
        <w:t>system</w:t>
      </w:r>
      <w:r w:rsidRPr="004909FC">
        <w:rPr>
          <w:rFonts w:ascii="Times New Roman" w:hAnsi="Times New Roman" w:cs="Times New Roman"/>
        </w:rPr>
        <w:t>/</w:t>
      </w:r>
      <w:r w:rsidRPr="004909FC">
        <w:rPr>
          <w:rFonts w:ascii="Times New Roman" w:hAnsi="Times New Roman" w:cs="Times New Roman"/>
          <w:lang w:val="en-US"/>
        </w:rPr>
        <w:t>files</w:t>
      </w:r>
      <w:r w:rsidRPr="004909FC">
        <w:rPr>
          <w:rFonts w:ascii="Times New Roman" w:hAnsi="Times New Roman" w:cs="Times New Roman"/>
        </w:rPr>
        <w:t>/</w:t>
      </w:r>
      <w:r w:rsidRPr="004909FC">
        <w:rPr>
          <w:rFonts w:ascii="Times New Roman" w:hAnsi="Times New Roman" w:cs="Times New Roman"/>
          <w:lang w:val="en-US"/>
        </w:rPr>
        <w:t>publications</w:t>
      </w:r>
      <w:r w:rsidRPr="004909FC">
        <w:rPr>
          <w:rFonts w:ascii="Times New Roman" w:hAnsi="Times New Roman" w:cs="Times New Roman"/>
        </w:rPr>
        <w:t>/</w:t>
      </w:r>
      <w:r w:rsidRPr="004909FC">
        <w:rPr>
          <w:rFonts w:ascii="Times New Roman" w:hAnsi="Times New Roman" w:cs="Times New Roman"/>
          <w:lang w:val="en-US"/>
        </w:rPr>
        <w:t>files</w:t>
      </w:r>
      <w:r w:rsidRPr="004909FC">
        <w:rPr>
          <w:rFonts w:ascii="Times New Roman" w:hAnsi="Times New Roman" w:cs="Times New Roman"/>
        </w:rPr>
        <w:t>/</w:t>
      </w:r>
      <w:r w:rsidRPr="004909FC">
        <w:rPr>
          <w:rFonts w:ascii="Times New Roman" w:hAnsi="Times New Roman" w:cs="Times New Roman"/>
          <w:lang w:val="en-US"/>
        </w:rPr>
        <w:t>IFAC</w:t>
      </w:r>
      <w:r w:rsidRPr="004909FC">
        <w:rPr>
          <w:rFonts w:ascii="Times New Roman" w:hAnsi="Times New Roman" w:cs="Times New Roman"/>
        </w:rPr>
        <w:t>-</w:t>
      </w:r>
      <w:r w:rsidRPr="004909FC">
        <w:rPr>
          <w:rFonts w:ascii="Times New Roman" w:hAnsi="Times New Roman" w:cs="Times New Roman"/>
          <w:lang w:val="en-US"/>
        </w:rPr>
        <w:t>State</w:t>
      </w:r>
      <w:r w:rsidRPr="004909FC">
        <w:rPr>
          <w:rFonts w:ascii="Times New Roman" w:hAnsi="Times New Roman" w:cs="Times New Roman"/>
        </w:rPr>
        <w:t>-</w:t>
      </w:r>
      <w:r w:rsidRPr="004909FC">
        <w:rPr>
          <w:rFonts w:ascii="Times New Roman" w:hAnsi="Times New Roman" w:cs="Times New Roman"/>
          <w:lang w:val="en-US"/>
        </w:rPr>
        <w:t>of</w:t>
      </w:r>
      <w:r w:rsidRPr="004909FC">
        <w:rPr>
          <w:rFonts w:ascii="Times New Roman" w:hAnsi="Times New Roman" w:cs="Times New Roman"/>
        </w:rPr>
        <w:t>-</w:t>
      </w:r>
      <w:r w:rsidRPr="004909FC">
        <w:rPr>
          <w:rFonts w:ascii="Times New Roman" w:hAnsi="Times New Roman" w:cs="Times New Roman"/>
          <w:lang w:val="en-US"/>
        </w:rPr>
        <w:t>Play</w:t>
      </w:r>
      <w:r w:rsidRPr="004909FC">
        <w:rPr>
          <w:rFonts w:ascii="Times New Roman" w:hAnsi="Times New Roman" w:cs="Times New Roman"/>
        </w:rPr>
        <w:t>-</w:t>
      </w:r>
      <w:r w:rsidRPr="004909FC">
        <w:rPr>
          <w:rFonts w:ascii="Times New Roman" w:hAnsi="Times New Roman" w:cs="Times New Roman"/>
          <w:lang w:val="en-US"/>
        </w:rPr>
        <w:t>in</w:t>
      </w:r>
      <w:r w:rsidRPr="004909FC">
        <w:rPr>
          <w:rFonts w:ascii="Times New Roman" w:hAnsi="Times New Roman" w:cs="Times New Roman"/>
        </w:rPr>
        <w:t>-</w:t>
      </w:r>
      <w:r w:rsidRPr="004909FC">
        <w:rPr>
          <w:rFonts w:ascii="Times New Roman" w:hAnsi="Times New Roman" w:cs="Times New Roman"/>
          <w:lang w:val="en-US"/>
        </w:rPr>
        <w:t>Sustainability</w:t>
      </w:r>
      <w:r w:rsidRPr="004909FC">
        <w:rPr>
          <w:rFonts w:ascii="Times New Roman" w:hAnsi="Times New Roman" w:cs="Times New Roman"/>
        </w:rPr>
        <w:t>-</w:t>
      </w:r>
      <w:r w:rsidRPr="004909FC">
        <w:rPr>
          <w:rFonts w:ascii="Times New Roman" w:hAnsi="Times New Roman" w:cs="Times New Roman"/>
          <w:lang w:val="en-US"/>
        </w:rPr>
        <w:t>Reporting</w:t>
      </w:r>
      <w:r w:rsidRPr="004909FC">
        <w:rPr>
          <w:rFonts w:ascii="Times New Roman" w:hAnsi="Times New Roman" w:cs="Times New Roman"/>
        </w:rPr>
        <w:t>-</w:t>
      </w:r>
      <w:r w:rsidRPr="004909FC">
        <w:rPr>
          <w:rFonts w:ascii="Times New Roman" w:hAnsi="Times New Roman" w:cs="Times New Roman"/>
          <w:lang w:val="en-US"/>
        </w:rPr>
        <w:t>and</w:t>
      </w:r>
      <w:r w:rsidRPr="004909FC">
        <w:rPr>
          <w:rFonts w:ascii="Times New Roman" w:hAnsi="Times New Roman" w:cs="Times New Roman"/>
        </w:rPr>
        <w:t>-</w:t>
      </w:r>
      <w:r w:rsidRPr="004909FC">
        <w:rPr>
          <w:rFonts w:ascii="Times New Roman" w:hAnsi="Times New Roman" w:cs="Times New Roman"/>
          <w:lang w:val="en-US"/>
        </w:rPr>
        <w:t>Assurance</w:t>
      </w:r>
      <w:r w:rsidRPr="004909FC">
        <w:rPr>
          <w:rFonts w:ascii="Times New Roman" w:hAnsi="Times New Roman" w:cs="Times New Roman"/>
        </w:rPr>
        <w:t>-2019-2020-</w:t>
      </w:r>
      <w:r w:rsidRPr="004909FC">
        <w:rPr>
          <w:rFonts w:ascii="Times New Roman" w:hAnsi="Times New Roman" w:cs="Times New Roman"/>
          <w:lang w:val="en-US"/>
        </w:rPr>
        <w:t>date</w:t>
      </w:r>
      <w:r w:rsidRPr="004909FC">
        <w:rPr>
          <w:rFonts w:ascii="Times New Roman" w:hAnsi="Times New Roman" w:cs="Times New Roman"/>
        </w:rPr>
        <w:t>.</w:t>
      </w:r>
      <w:r w:rsidRPr="004909FC">
        <w:rPr>
          <w:rFonts w:ascii="Times New Roman" w:hAnsi="Times New Roman" w:cs="Times New Roman"/>
          <w:lang w:val="en-US"/>
        </w:rPr>
        <w:t>pdf</w:t>
      </w:r>
      <w:r>
        <w:rPr>
          <w:rStyle w:val="aa"/>
          <w:rFonts w:ascii="Times New Roman" w:hAnsi="Times New Roman" w:cs="Times New Roman"/>
          <w:color w:val="auto"/>
          <w:u w:val="none"/>
        </w:rPr>
        <w:t xml:space="preserve"> </w:t>
      </w:r>
      <w:r w:rsidRPr="00503517">
        <w:rPr>
          <w:rFonts w:ascii="Times New Roman" w:hAnsi="Times New Roman" w:cs="Times New Roman"/>
        </w:rPr>
        <w:t>(</w:t>
      </w:r>
      <w:r w:rsidRPr="00D613CE">
        <w:rPr>
          <w:rFonts w:ascii="Times New Roman" w:hAnsi="Times New Roman" w:cs="Times New Roman"/>
        </w:rPr>
        <w:t>дата</w:t>
      </w:r>
      <w:r w:rsidRPr="00503517">
        <w:rPr>
          <w:rFonts w:ascii="Times New Roman" w:hAnsi="Times New Roman" w:cs="Times New Roman"/>
        </w:rPr>
        <w:t xml:space="preserve"> </w:t>
      </w:r>
      <w:r w:rsidRPr="00D613CE">
        <w:rPr>
          <w:rFonts w:ascii="Times New Roman" w:hAnsi="Times New Roman" w:cs="Times New Roman"/>
        </w:rPr>
        <w:t>обращения</w:t>
      </w:r>
      <w:r w:rsidRPr="00503517">
        <w:rPr>
          <w:rFonts w:ascii="Times New Roman" w:hAnsi="Times New Roman" w:cs="Times New Roman"/>
        </w:rPr>
        <w:t>: 19.12.2022</w:t>
      </w:r>
      <w:r w:rsidRPr="004909FC">
        <w:rPr>
          <w:rFonts w:ascii="Times New Roman" w:hAnsi="Times New Roman" w:cs="Times New Roman"/>
        </w:rPr>
        <w:t>).</w:t>
      </w:r>
    </w:p>
  </w:footnote>
  <w:footnote w:id="7">
    <w:p w14:paraId="2D2C00B4" w14:textId="77777777" w:rsidR="00626B12" w:rsidRPr="00DF1D08" w:rsidRDefault="00626B12" w:rsidP="00626B12">
      <w:pPr>
        <w:autoSpaceDE w:val="0"/>
        <w:autoSpaceDN w:val="0"/>
        <w:adjustRightInd w:val="0"/>
        <w:spacing w:after="40" w:line="240" w:lineRule="auto"/>
        <w:jc w:val="both"/>
        <w:rPr>
          <w:rFonts w:ascii="Times New Roman" w:hAnsi="Times New Roman" w:cs="Times New Roman"/>
        </w:rPr>
      </w:pPr>
      <w:r w:rsidRPr="00DF1D08">
        <w:rPr>
          <w:rStyle w:val="af2"/>
          <w:rFonts w:ascii="Times New Roman" w:hAnsi="Times New Roman" w:cs="Times New Roman"/>
        </w:rPr>
        <w:footnoteRef/>
      </w:r>
      <w:r w:rsidRPr="00D074B8">
        <w:rPr>
          <w:rFonts w:ascii="Times New Roman" w:hAnsi="Times New Roman" w:cs="Times New Roman"/>
        </w:rPr>
        <w:t xml:space="preserve"> </w:t>
      </w:r>
      <w:r w:rsidRPr="00DF1D08">
        <w:rPr>
          <w:rFonts w:ascii="Times New Roman" w:hAnsi="Times New Roman" w:cs="Times New Roman"/>
        </w:rPr>
        <w:t>Термин</w:t>
      </w:r>
      <w:r w:rsidRPr="00D074B8">
        <w:rPr>
          <w:rFonts w:ascii="Times New Roman" w:hAnsi="Times New Roman" w:cs="Times New Roman"/>
        </w:rPr>
        <w:t xml:space="preserve"> "</w:t>
      </w:r>
      <w:r w:rsidRPr="00DF1D08">
        <w:rPr>
          <w:rFonts w:ascii="Times New Roman" w:hAnsi="Times New Roman" w:cs="Times New Roman"/>
        </w:rPr>
        <w:t>гринвошинг</w:t>
      </w:r>
      <w:r w:rsidRPr="00D074B8">
        <w:rPr>
          <w:rFonts w:ascii="Times New Roman" w:hAnsi="Times New Roman" w:cs="Times New Roman"/>
        </w:rPr>
        <w:t>" (</w:t>
      </w:r>
      <w:r w:rsidRPr="00DF1D08">
        <w:rPr>
          <w:rFonts w:ascii="Times New Roman" w:hAnsi="Times New Roman" w:cs="Times New Roman"/>
        </w:rPr>
        <w:t>англ</w:t>
      </w:r>
      <w:r w:rsidRPr="00D074B8">
        <w:rPr>
          <w:rFonts w:ascii="Times New Roman" w:hAnsi="Times New Roman" w:cs="Times New Roman"/>
        </w:rPr>
        <w:t xml:space="preserve">. </w:t>
      </w:r>
      <w:r w:rsidRPr="00DE7F38">
        <w:rPr>
          <w:rFonts w:ascii="Times New Roman" w:hAnsi="Times New Roman" w:cs="Times New Roman"/>
          <w:lang w:val="en-US"/>
        </w:rPr>
        <w:t>Greenwashing</w:t>
      </w:r>
      <w:r w:rsidRPr="00D074B8">
        <w:rPr>
          <w:rFonts w:ascii="Times New Roman" w:hAnsi="Times New Roman" w:cs="Times New Roman"/>
        </w:rPr>
        <w:t xml:space="preserve">) </w:t>
      </w:r>
      <w:r w:rsidRPr="00DF1D08">
        <w:rPr>
          <w:rFonts w:ascii="Times New Roman" w:hAnsi="Times New Roman" w:cs="Times New Roman"/>
        </w:rPr>
        <w:t>введен</w:t>
      </w:r>
      <w:r w:rsidRPr="00D074B8">
        <w:rPr>
          <w:rFonts w:ascii="Times New Roman" w:hAnsi="Times New Roman" w:cs="Times New Roman"/>
        </w:rPr>
        <w:t xml:space="preserve"> </w:t>
      </w:r>
      <w:r w:rsidRPr="00DF1D08">
        <w:rPr>
          <w:rFonts w:ascii="Times New Roman" w:hAnsi="Times New Roman" w:cs="Times New Roman"/>
        </w:rPr>
        <w:t>в</w:t>
      </w:r>
      <w:r w:rsidRPr="00D074B8">
        <w:rPr>
          <w:rFonts w:ascii="Times New Roman" w:hAnsi="Times New Roman" w:cs="Times New Roman"/>
        </w:rPr>
        <w:t xml:space="preserve"> 1986 </w:t>
      </w:r>
      <w:r w:rsidRPr="00DF1D08">
        <w:rPr>
          <w:rFonts w:ascii="Times New Roman" w:hAnsi="Times New Roman" w:cs="Times New Roman"/>
        </w:rPr>
        <w:t>г</w:t>
      </w:r>
      <w:r w:rsidRPr="00D074B8">
        <w:rPr>
          <w:rFonts w:ascii="Times New Roman" w:hAnsi="Times New Roman" w:cs="Times New Roman"/>
        </w:rPr>
        <w:t xml:space="preserve">. </w:t>
      </w:r>
      <w:r w:rsidRPr="00DF1D08">
        <w:rPr>
          <w:rFonts w:ascii="Times New Roman" w:hAnsi="Times New Roman" w:cs="Times New Roman"/>
        </w:rPr>
        <w:t>экологом</w:t>
      </w:r>
      <w:r w:rsidRPr="00D074B8">
        <w:rPr>
          <w:rFonts w:ascii="Times New Roman" w:hAnsi="Times New Roman" w:cs="Times New Roman"/>
        </w:rPr>
        <w:t xml:space="preserve"> </w:t>
      </w:r>
      <w:r w:rsidRPr="00DF1D08">
        <w:rPr>
          <w:rFonts w:ascii="Times New Roman" w:hAnsi="Times New Roman" w:cs="Times New Roman"/>
        </w:rPr>
        <w:t>Джеем</w:t>
      </w:r>
      <w:r w:rsidRPr="00D074B8">
        <w:rPr>
          <w:rFonts w:ascii="Times New Roman" w:hAnsi="Times New Roman" w:cs="Times New Roman"/>
        </w:rPr>
        <w:t xml:space="preserve"> </w:t>
      </w:r>
      <w:r w:rsidRPr="00DF1D08">
        <w:rPr>
          <w:rFonts w:ascii="Times New Roman" w:hAnsi="Times New Roman" w:cs="Times New Roman"/>
        </w:rPr>
        <w:t>Вестервельдом</w:t>
      </w:r>
      <w:r w:rsidRPr="00D074B8">
        <w:rPr>
          <w:rFonts w:ascii="Times New Roman" w:hAnsi="Times New Roman" w:cs="Times New Roman"/>
        </w:rPr>
        <w:t xml:space="preserve"> (</w:t>
      </w:r>
      <w:r w:rsidRPr="00DE7F38">
        <w:rPr>
          <w:rFonts w:ascii="Times New Roman" w:hAnsi="Times New Roman" w:cs="Times New Roman"/>
          <w:lang w:val="en-US"/>
        </w:rPr>
        <w:t>Jay</w:t>
      </w:r>
      <w:r w:rsidRPr="00D074B8">
        <w:rPr>
          <w:rFonts w:ascii="Times New Roman" w:hAnsi="Times New Roman" w:cs="Times New Roman"/>
        </w:rPr>
        <w:t xml:space="preserve"> </w:t>
      </w:r>
      <w:r w:rsidRPr="00DE7F38">
        <w:rPr>
          <w:rFonts w:ascii="Times New Roman" w:hAnsi="Times New Roman" w:cs="Times New Roman"/>
          <w:lang w:val="en-US"/>
        </w:rPr>
        <w:t>Westerveld</w:t>
      </w:r>
      <w:r w:rsidRPr="00D074B8">
        <w:rPr>
          <w:rFonts w:ascii="Times New Roman" w:hAnsi="Times New Roman" w:cs="Times New Roman"/>
        </w:rPr>
        <w:t>) (</w:t>
      </w:r>
      <w:r w:rsidRPr="00DE7F38">
        <w:rPr>
          <w:rFonts w:ascii="Times New Roman" w:hAnsi="Times New Roman" w:cs="Times New Roman"/>
          <w:lang w:val="en-US"/>
        </w:rPr>
        <w:t>Becker</w:t>
      </w:r>
      <w:r w:rsidRPr="00D074B8">
        <w:rPr>
          <w:rFonts w:ascii="Times New Roman" w:hAnsi="Times New Roman" w:cs="Times New Roman"/>
        </w:rPr>
        <w:t>-</w:t>
      </w:r>
      <w:r w:rsidRPr="00DE7F38">
        <w:rPr>
          <w:rFonts w:ascii="Times New Roman" w:hAnsi="Times New Roman" w:cs="Times New Roman"/>
          <w:lang w:val="en-US"/>
        </w:rPr>
        <w:t>Olsen</w:t>
      </w:r>
      <w:r w:rsidRPr="00D074B8">
        <w:rPr>
          <w:rFonts w:ascii="Times New Roman" w:hAnsi="Times New Roman" w:cs="Times New Roman"/>
        </w:rPr>
        <w:t xml:space="preserve"> </w:t>
      </w:r>
      <w:r w:rsidRPr="00DE7F38">
        <w:rPr>
          <w:rFonts w:ascii="Times New Roman" w:hAnsi="Times New Roman" w:cs="Times New Roman"/>
          <w:lang w:val="en-US"/>
        </w:rPr>
        <w:t>K</w:t>
      </w:r>
      <w:r w:rsidRPr="00D074B8">
        <w:rPr>
          <w:rFonts w:ascii="Times New Roman" w:hAnsi="Times New Roman" w:cs="Times New Roman"/>
        </w:rPr>
        <w:t xml:space="preserve">., </w:t>
      </w:r>
      <w:r w:rsidRPr="00DE7F38">
        <w:rPr>
          <w:rFonts w:ascii="Times New Roman" w:hAnsi="Times New Roman" w:cs="Times New Roman"/>
          <w:lang w:val="en-US"/>
        </w:rPr>
        <w:t>Potucek</w:t>
      </w:r>
      <w:r w:rsidRPr="00D074B8">
        <w:rPr>
          <w:rFonts w:ascii="Times New Roman" w:hAnsi="Times New Roman" w:cs="Times New Roman"/>
        </w:rPr>
        <w:t xml:space="preserve"> </w:t>
      </w:r>
      <w:r w:rsidRPr="00DE7F38">
        <w:rPr>
          <w:rFonts w:ascii="Times New Roman" w:hAnsi="Times New Roman" w:cs="Times New Roman"/>
          <w:lang w:val="en-US"/>
        </w:rPr>
        <w:t>S</w:t>
      </w:r>
      <w:r w:rsidRPr="00D074B8">
        <w:rPr>
          <w:rFonts w:ascii="Times New Roman" w:hAnsi="Times New Roman" w:cs="Times New Roman"/>
        </w:rPr>
        <w:t xml:space="preserve">. </w:t>
      </w:r>
      <w:r w:rsidRPr="00DE7F38">
        <w:rPr>
          <w:rFonts w:ascii="Times New Roman" w:hAnsi="Times New Roman" w:cs="Times New Roman"/>
          <w:lang w:val="en-US"/>
        </w:rPr>
        <w:t>Greenwashing</w:t>
      </w:r>
      <w:r w:rsidRPr="00D074B8">
        <w:rPr>
          <w:rFonts w:ascii="Times New Roman" w:hAnsi="Times New Roman" w:cs="Times New Roman"/>
        </w:rPr>
        <w:t xml:space="preserve">. </w:t>
      </w:r>
      <w:r w:rsidRPr="00DF1D08">
        <w:rPr>
          <w:rFonts w:ascii="Times New Roman" w:hAnsi="Times New Roman" w:cs="Times New Roman"/>
          <w:lang w:val="en-US"/>
        </w:rPr>
        <w:t xml:space="preserve">In: Idowu S.O., Capaldi N., Zu L., Gupta A.D. (eds.) Encyclopedia of Corporate Social Responsibility. Springer, Berlin, Heidelberg, 2013. DOI: 10.1007/978-3-642-28036-8_1042022. N 1. </w:t>
      </w:r>
      <w:r w:rsidRPr="00DF1D08">
        <w:rPr>
          <w:rFonts w:ascii="Times New Roman" w:hAnsi="Times New Roman" w:cs="Times New Roman"/>
        </w:rPr>
        <w:t>P. 45 - 49</w:t>
      </w:r>
      <w:r w:rsidRPr="00DE7F38">
        <w:rPr>
          <w:rFonts w:ascii="Times New Roman" w:hAnsi="Times New Roman" w:cs="Times New Roman"/>
        </w:rPr>
        <w:t>)</w:t>
      </w:r>
      <w:r w:rsidRPr="00DF1D08">
        <w:rPr>
          <w:rFonts w:ascii="Times New Roman" w:hAnsi="Times New Roman" w:cs="Times New Roman"/>
        </w:rPr>
        <w:t xml:space="preserve">. </w:t>
      </w:r>
    </w:p>
    <w:p w14:paraId="0C23C872" w14:textId="77777777" w:rsidR="00626B12" w:rsidRPr="00DF529B" w:rsidRDefault="00626B12" w:rsidP="00626B12">
      <w:pPr>
        <w:autoSpaceDE w:val="0"/>
        <w:autoSpaceDN w:val="0"/>
        <w:adjustRightInd w:val="0"/>
        <w:spacing w:after="0" w:line="240" w:lineRule="auto"/>
        <w:jc w:val="both"/>
        <w:rPr>
          <w:rFonts w:ascii="Arial" w:hAnsi="Arial" w:cs="Arial"/>
          <w:sz w:val="20"/>
          <w:szCs w:val="20"/>
        </w:rPr>
      </w:pPr>
      <w:r w:rsidRPr="00DF1D08">
        <w:rPr>
          <w:rFonts w:ascii="Times New Roman" w:hAnsi="Times New Roman" w:cs="Times New Roman"/>
        </w:rPr>
        <w:t>Гринвошинг называют "зеленым блеском" или "зеленым камуфляжем", представляющим собой форму маркетингового позиционирования, в котором зеленый PR (зеленые ценности) и зеленый маркетинг обманчиво используются, с тем чтобы убедить стейкхолдеров в том, что продукты, цели и политики компании являются экологически чистыми ("зеленое" отмывание брендов, продуктов, сервисов) (Netto S., Sobral M., Ribeiro A., Soares G. Concepts and forms of greenwashing: a systematic review. Environmental Sciences Europe. Springer, 2020. DOI: 32.10.1186/s12302-020-0300-3) (Кожевина О.В. Проблемы гринвошинга и недобросовестной коммерческой практики субъектов предпринимательства в условиях зеленой экономики // Конкурентное право. 2022. N 4. С. 12 - 15.DOI: 10.18572/2225-8302-2022-4-12-1)</w:t>
      </w:r>
      <w:r w:rsidRPr="00DF1D08">
        <w:rPr>
          <w:rFonts w:ascii="Times New Roman" w:hAnsi="Times New Roman" w:cs="Times New Roman"/>
          <w:shd w:val="clear" w:color="auto" w:fill="FFFFFF"/>
        </w:rPr>
        <w:t>.</w:t>
      </w:r>
      <w:r w:rsidRPr="001506D0">
        <w:rPr>
          <w:rFonts w:ascii="Arial" w:hAnsi="Arial" w:cs="Arial"/>
          <w:sz w:val="27"/>
          <w:szCs w:val="27"/>
          <w:shd w:val="clear" w:color="auto" w:fill="FFFFFF"/>
        </w:rPr>
        <w:t> </w:t>
      </w:r>
    </w:p>
  </w:footnote>
  <w:footnote w:id="8">
    <w:p w14:paraId="5D7E9FB4" w14:textId="77777777" w:rsidR="00626B12" w:rsidRPr="0028618D" w:rsidRDefault="00626B12" w:rsidP="00626B12">
      <w:pPr>
        <w:pStyle w:val="af0"/>
        <w:jc w:val="both"/>
        <w:rPr>
          <w:rFonts w:ascii="Times New Roman" w:hAnsi="Times New Roman" w:cs="Times New Roman"/>
          <w:sz w:val="22"/>
          <w:szCs w:val="22"/>
        </w:rPr>
      </w:pPr>
      <w:r w:rsidRPr="0028618D">
        <w:rPr>
          <w:rStyle w:val="af2"/>
          <w:rFonts w:ascii="Times New Roman" w:hAnsi="Times New Roman" w:cs="Times New Roman"/>
          <w:sz w:val="22"/>
          <w:szCs w:val="22"/>
        </w:rPr>
        <w:footnoteRef/>
      </w:r>
      <w:r w:rsidRPr="0028618D">
        <w:rPr>
          <w:rFonts w:ascii="Times New Roman" w:hAnsi="Times New Roman" w:cs="Times New Roman"/>
          <w:sz w:val="22"/>
          <w:szCs w:val="22"/>
        </w:rPr>
        <w:t xml:space="preserve"> Является официальной публикацией для применения на территории РФ в установленном порядке.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AE4"/>
    <w:multiLevelType w:val="hybridMultilevel"/>
    <w:tmpl w:val="5A969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F6D5D"/>
    <w:multiLevelType w:val="hybridMultilevel"/>
    <w:tmpl w:val="930476FA"/>
    <w:lvl w:ilvl="0" w:tplc="041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A5B49"/>
    <w:multiLevelType w:val="hybridMultilevel"/>
    <w:tmpl w:val="91DACBF0"/>
    <w:lvl w:ilvl="0" w:tplc="041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652C0F"/>
    <w:multiLevelType w:val="hybridMultilevel"/>
    <w:tmpl w:val="FCFC0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0C33BF"/>
    <w:multiLevelType w:val="hybridMultilevel"/>
    <w:tmpl w:val="34C2721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E983E84"/>
    <w:multiLevelType w:val="hybridMultilevel"/>
    <w:tmpl w:val="7C820F5A"/>
    <w:lvl w:ilvl="0" w:tplc="5096F46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A7AD9"/>
    <w:multiLevelType w:val="hybridMultilevel"/>
    <w:tmpl w:val="351A78CC"/>
    <w:lvl w:ilvl="0" w:tplc="041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3647F"/>
    <w:multiLevelType w:val="hybridMultilevel"/>
    <w:tmpl w:val="3434128C"/>
    <w:lvl w:ilvl="0" w:tplc="041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F2076"/>
    <w:multiLevelType w:val="hybridMultilevel"/>
    <w:tmpl w:val="F28459DC"/>
    <w:lvl w:ilvl="0" w:tplc="041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7E23D6"/>
    <w:multiLevelType w:val="hybridMultilevel"/>
    <w:tmpl w:val="1FD491A6"/>
    <w:lvl w:ilvl="0" w:tplc="041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933860"/>
    <w:multiLevelType w:val="hybridMultilevel"/>
    <w:tmpl w:val="C80AA704"/>
    <w:lvl w:ilvl="0" w:tplc="31EEFF6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7D3713"/>
    <w:multiLevelType w:val="multilevel"/>
    <w:tmpl w:val="22EC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0"/>
  </w:num>
  <w:num w:numId="6">
    <w:abstractNumId w:val="5"/>
  </w:num>
  <w:num w:numId="7">
    <w:abstractNumId w:val="9"/>
  </w:num>
  <w:num w:numId="8">
    <w:abstractNumId w:val="8"/>
  </w:num>
  <w:num w:numId="9">
    <w:abstractNumId w:val="1"/>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D8"/>
    <w:rsid w:val="000D3FA6"/>
    <w:rsid w:val="000F1E05"/>
    <w:rsid w:val="000F3346"/>
    <w:rsid w:val="000F67C2"/>
    <w:rsid w:val="001211C1"/>
    <w:rsid w:val="00125E11"/>
    <w:rsid w:val="001319A9"/>
    <w:rsid w:val="00167F14"/>
    <w:rsid w:val="001C0E92"/>
    <w:rsid w:val="001C409D"/>
    <w:rsid w:val="001F364B"/>
    <w:rsid w:val="0022203B"/>
    <w:rsid w:val="00273C73"/>
    <w:rsid w:val="002A48D4"/>
    <w:rsid w:val="002F1D47"/>
    <w:rsid w:val="003350F0"/>
    <w:rsid w:val="003564F2"/>
    <w:rsid w:val="003A3ED8"/>
    <w:rsid w:val="003C07CA"/>
    <w:rsid w:val="003E330C"/>
    <w:rsid w:val="00461215"/>
    <w:rsid w:val="00493832"/>
    <w:rsid w:val="004D2693"/>
    <w:rsid w:val="004E0C0F"/>
    <w:rsid w:val="0055673C"/>
    <w:rsid w:val="00595324"/>
    <w:rsid w:val="005A44DD"/>
    <w:rsid w:val="005A6B99"/>
    <w:rsid w:val="005B14D0"/>
    <w:rsid w:val="005D2C4A"/>
    <w:rsid w:val="005F4850"/>
    <w:rsid w:val="00606E6F"/>
    <w:rsid w:val="00626B12"/>
    <w:rsid w:val="00645C75"/>
    <w:rsid w:val="006E0C55"/>
    <w:rsid w:val="00704B35"/>
    <w:rsid w:val="00731A97"/>
    <w:rsid w:val="00737C20"/>
    <w:rsid w:val="00791431"/>
    <w:rsid w:val="007B3308"/>
    <w:rsid w:val="007E11C6"/>
    <w:rsid w:val="007F25C7"/>
    <w:rsid w:val="008614C0"/>
    <w:rsid w:val="008B0740"/>
    <w:rsid w:val="008B549F"/>
    <w:rsid w:val="00925C2F"/>
    <w:rsid w:val="00925E00"/>
    <w:rsid w:val="00951BE2"/>
    <w:rsid w:val="009664E4"/>
    <w:rsid w:val="00A8008F"/>
    <w:rsid w:val="00AA0B2E"/>
    <w:rsid w:val="00AA6602"/>
    <w:rsid w:val="00AB3E06"/>
    <w:rsid w:val="00AE7708"/>
    <w:rsid w:val="00B50939"/>
    <w:rsid w:val="00B51637"/>
    <w:rsid w:val="00BA78C4"/>
    <w:rsid w:val="00BD046D"/>
    <w:rsid w:val="00BF7363"/>
    <w:rsid w:val="00C13395"/>
    <w:rsid w:val="00C1475F"/>
    <w:rsid w:val="00C211F0"/>
    <w:rsid w:val="00C32E26"/>
    <w:rsid w:val="00C35715"/>
    <w:rsid w:val="00C37E37"/>
    <w:rsid w:val="00C916D4"/>
    <w:rsid w:val="00CC35F2"/>
    <w:rsid w:val="00D026F9"/>
    <w:rsid w:val="00D4443C"/>
    <w:rsid w:val="00D45BDC"/>
    <w:rsid w:val="00D614ED"/>
    <w:rsid w:val="00D80111"/>
    <w:rsid w:val="00D809D2"/>
    <w:rsid w:val="00DB7DF0"/>
    <w:rsid w:val="00E0038E"/>
    <w:rsid w:val="00E00953"/>
    <w:rsid w:val="00E0221D"/>
    <w:rsid w:val="00E1082A"/>
    <w:rsid w:val="00E152CE"/>
    <w:rsid w:val="00E26A19"/>
    <w:rsid w:val="00E8147F"/>
    <w:rsid w:val="00E82E68"/>
    <w:rsid w:val="00E83025"/>
    <w:rsid w:val="00E8495A"/>
    <w:rsid w:val="00E945B7"/>
    <w:rsid w:val="00EB31E0"/>
    <w:rsid w:val="00EC01F4"/>
    <w:rsid w:val="00F03A95"/>
    <w:rsid w:val="00FB0B40"/>
    <w:rsid w:val="00FB59D2"/>
    <w:rsid w:val="00FC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763F5"/>
  <w15:docId w15:val="{0916F334-E07F-4AA3-B3DC-D650856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6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3ED8"/>
    <w:rPr>
      <w:sz w:val="16"/>
      <w:szCs w:val="16"/>
    </w:rPr>
  </w:style>
  <w:style w:type="paragraph" w:styleId="a4">
    <w:name w:val="annotation text"/>
    <w:basedOn w:val="a"/>
    <w:link w:val="a5"/>
    <w:uiPriority w:val="99"/>
    <w:unhideWhenUsed/>
    <w:rsid w:val="003A3ED8"/>
    <w:pPr>
      <w:spacing w:after="160" w:line="240" w:lineRule="auto"/>
    </w:pPr>
    <w:rPr>
      <w:sz w:val="20"/>
      <w:szCs w:val="20"/>
    </w:rPr>
  </w:style>
  <w:style w:type="character" w:customStyle="1" w:styleId="a5">
    <w:name w:val="Текст примечания Знак"/>
    <w:basedOn w:val="a0"/>
    <w:link w:val="a4"/>
    <w:uiPriority w:val="99"/>
    <w:rsid w:val="003A3ED8"/>
    <w:rPr>
      <w:sz w:val="20"/>
      <w:szCs w:val="20"/>
    </w:rPr>
  </w:style>
  <w:style w:type="paragraph" w:styleId="a6">
    <w:name w:val="List Paragraph"/>
    <w:aliases w:val="Ненумерованный список,ПАРАГРАФ"/>
    <w:basedOn w:val="a"/>
    <w:uiPriority w:val="34"/>
    <w:qFormat/>
    <w:rsid w:val="003A3ED8"/>
    <w:pPr>
      <w:spacing w:after="160" w:line="259" w:lineRule="auto"/>
      <w:ind w:left="720"/>
      <w:contextualSpacing/>
    </w:pPr>
  </w:style>
  <w:style w:type="table" w:styleId="a7">
    <w:name w:val="Table Grid"/>
    <w:basedOn w:val="a1"/>
    <w:uiPriority w:val="39"/>
    <w:rsid w:val="003A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3E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3ED8"/>
    <w:rPr>
      <w:rFonts w:ascii="Tahoma" w:hAnsi="Tahoma" w:cs="Tahoma"/>
      <w:sz w:val="16"/>
      <w:szCs w:val="16"/>
    </w:rPr>
  </w:style>
  <w:style w:type="paragraph" w:customStyle="1" w:styleId="ConsPlusTitle">
    <w:name w:val="ConsPlusTitle"/>
    <w:rsid w:val="00925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925C2F"/>
    <w:pPr>
      <w:widowControl w:val="0"/>
      <w:autoSpaceDE w:val="0"/>
      <w:autoSpaceDN w:val="0"/>
      <w:spacing w:after="0" w:line="240" w:lineRule="auto"/>
    </w:pPr>
    <w:rPr>
      <w:rFonts w:ascii="Calibri" w:eastAsia="Times New Roman" w:hAnsi="Calibri" w:cs="Calibri"/>
      <w:szCs w:val="20"/>
      <w:lang w:val="en-US"/>
    </w:rPr>
  </w:style>
  <w:style w:type="character" w:customStyle="1" w:styleId="10">
    <w:name w:val="Заголовок 1 Знак"/>
    <w:basedOn w:val="a0"/>
    <w:link w:val="1"/>
    <w:uiPriority w:val="9"/>
    <w:rsid w:val="000F67C2"/>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A8008F"/>
    <w:pPr>
      <w:tabs>
        <w:tab w:val="right" w:leader="dot" w:pos="9345"/>
      </w:tabs>
      <w:spacing w:after="100"/>
      <w:jc w:val="center"/>
    </w:pPr>
  </w:style>
  <w:style w:type="character" w:styleId="aa">
    <w:name w:val="Hyperlink"/>
    <w:basedOn w:val="a0"/>
    <w:uiPriority w:val="99"/>
    <w:unhideWhenUsed/>
    <w:rsid w:val="000F67C2"/>
    <w:rPr>
      <w:color w:val="0000FF" w:themeColor="hyperlink"/>
      <w:u w:val="single"/>
    </w:rPr>
  </w:style>
  <w:style w:type="paragraph" w:customStyle="1" w:styleId="Default">
    <w:name w:val="Default"/>
    <w:rsid w:val="007F25C7"/>
    <w:pPr>
      <w:autoSpaceDE w:val="0"/>
      <w:autoSpaceDN w:val="0"/>
      <w:adjustRightInd w:val="0"/>
      <w:spacing w:after="0" w:line="240" w:lineRule="auto"/>
    </w:pPr>
    <w:rPr>
      <w:rFonts w:ascii="Stem Medium" w:hAnsi="Stem Medium" w:cs="Stem Medium"/>
      <w:color w:val="000000"/>
      <w:sz w:val="24"/>
      <w:szCs w:val="24"/>
    </w:rPr>
  </w:style>
  <w:style w:type="paragraph" w:styleId="ab">
    <w:name w:val="Normal (Web)"/>
    <w:basedOn w:val="a"/>
    <w:uiPriority w:val="99"/>
    <w:unhideWhenUsed/>
    <w:rsid w:val="007F25C7"/>
    <w:pPr>
      <w:spacing w:after="0"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F25C7"/>
    <w:rPr>
      <w:b/>
      <w:bCs/>
    </w:rPr>
  </w:style>
  <w:style w:type="paragraph" w:customStyle="1" w:styleId="formattext">
    <w:name w:val="formattext"/>
    <w:basedOn w:val="a"/>
    <w:rsid w:val="00F03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03A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subject"/>
    <w:basedOn w:val="a4"/>
    <w:next w:val="a4"/>
    <w:link w:val="ae"/>
    <w:uiPriority w:val="99"/>
    <w:semiHidden/>
    <w:unhideWhenUsed/>
    <w:rsid w:val="00C211F0"/>
    <w:pPr>
      <w:spacing w:after="200"/>
    </w:pPr>
    <w:rPr>
      <w:b/>
      <w:bCs/>
    </w:rPr>
  </w:style>
  <w:style w:type="character" w:customStyle="1" w:styleId="ae">
    <w:name w:val="Тема примечания Знак"/>
    <w:basedOn w:val="a5"/>
    <w:link w:val="ad"/>
    <w:uiPriority w:val="99"/>
    <w:semiHidden/>
    <w:rsid w:val="00C211F0"/>
    <w:rPr>
      <w:b/>
      <w:bCs/>
      <w:sz w:val="20"/>
      <w:szCs w:val="20"/>
    </w:rPr>
  </w:style>
  <w:style w:type="paragraph" w:styleId="af">
    <w:name w:val="No Spacing"/>
    <w:uiPriority w:val="1"/>
    <w:qFormat/>
    <w:rsid w:val="008B549F"/>
    <w:pPr>
      <w:spacing w:after="0" w:line="240" w:lineRule="auto"/>
    </w:pPr>
  </w:style>
  <w:style w:type="paragraph" w:styleId="af0">
    <w:name w:val="footnote text"/>
    <w:basedOn w:val="a"/>
    <w:link w:val="af1"/>
    <w:unhideWhenUsed/>
    <w:rsid w:val="00CC35F2"/>
    <w:pPr>
      <w:spacing w:after="0" w:line="240" w:lineRule="auto"/>
    </w:pPr>
    <w:rPr>
      <w:sz w:val="20"/>
      <w:szCs w:val="20"/>
    </w:rPr>
  </w:style>
  <w:style w:type="character" w:customStyle="1" w:styleId="af1">
    <w:name w:val="Текст сноски Знак"/>
    <w:basedOn w:val="a0"/>
    <w:link w:val="af0"/>
    <w:uiPriority w:val="99"/>
    <w:rsid w:val="00CC35F2"/>
    <w:rPr>
      <w:sz w:val="20"/>
      <w:szCs w:val="20"/>
    </w:rPr>
  </w:style>
  <w:style w:type="character" w:styleId="af2">
    <w:name w:val="footnote reference"/>
    <w:basedOn w:val="a0"/>
    <w:unhideWhenUsed/>
    <w:rsid w:val="00CC35F2"/>
    <w:rPr>
      <w:vertAlign w:val="superscript"/>
    </w:rPr>
  </w:style>
  <w:style w:type="paragraph" w:customStyle="1" w:styleId="box-paragraphtext">
    <w:name w:val="box-paragraph__text"/>
    <w:basedOn w:val="a"/>
    <w:rsid w:val="00966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3350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3350F0"/>
    <w:rPr>
      <w:rFonts w:asciiTheme="majorHAnsi" w:eastAsiaTheme="majorEastAsia" w:hAnsiTheme="majorHAnsi" w:cstheme="majorBidi"/>
      <w:i/>
      <w:iCs/>
      <w:color w:val="4F81BD" w:themeColor="accent1"/>
      <w:spacing w:val="15"/>
      <w:sz w:val="24"/>
      <w:szCs w:val="24"/>
    </w:rPr>
  </w:style>
  <w:style w:type="paragraph" w:styleId="af5">
    <w:name w:val="Revision"/>
    <w:hidden/>
    <w:uiPriority w:val="99"/>
    <w:semiHidden/>
    <w:rsid w:val="001211C1"/>
    <w:pPr>
      <w:spacing w:after="0" w:line="240" w:lineRule="auto"/>
    </w:pPr>
  </w:style>
  <w:style w:type="paragraph" w:styleId="af6">
    <w:name w:val="caption"/>
    <w:basedOn w:val="a"/>
    <w:next w:val="a"/>
    <w:link w:val="af7"/>
    <w:qFormat/>
    <w:rsid w:val="00626B12"/>
    <w:pPr>
      <w:spacing w:before="240" w:after="120" w:line="240" w:lineRule="auto"/>
      <w:jc w:val="right"/>
    </w:pPr>
    <w:rPr>
      <w:rFonts w:ascii="Times New Roman" w:eastAsia="Times New Roman" w:hAnsi="Times New Roman" w:cs="Times New Roman"/>
      <w:b/>
      <w:bCs/>
      <w:sz w:val="24"/>
      <w:szCs w:val="20"/>
      <w:lang w:eastAsia="ru-RU"/>
    </w:rPr>
  </w:style>
  <w:style w:type="paragraph" w:customStyle="1" w:styleId="af8">
    <w:name w:val="Стиль Таблица заголовок"/>
    <w:basedOn w:val="a"/>
    <w:autoRedefine/>
    <w:rsid w:val="00626B12"/>
    <w:pPr>
      <w:widowControl w:val="0"/>
      <w:spacing w:after="120" w:line="240" w:lineRule="auto"/>
      <w:contextualSpacing/>
      <w:jc w:val="center"/>
    </w:pPr>
    <w:rPr>
      <w:rFonts w:ascii="Times New Roman" w:eastAsia="Times New Roman" w:hAnsi="Times New Roman" w:cs="Times New Roman"/>
      <w:b/>
      <w:bCs/>
      <w:sz w:val="24"/>
      <w:szCs w:val="20"/>
    </w:rPr>
  </w:style>
  <w:style w:type="character" w:customStyle="1" w:styleId="af7">
    <w:name w:val="Название объекта Знак"/>
    <w:link w:val="af6"/>
    <w:rsid w:val="00626B12"/>
    <w:rPr>
      <w:rFonts w:ascii="Times New Roman" w:eastAsia="Times New Roman" w:hAnsi="Times New Roman" w:cs="Times New Roman"/>
      <w:b/>
      <w:bCs/>
      <w:sz w:val="24"/>
      <w:szCs w:val="20"/>
      <w:lang w:eastAsia="ru-RU"/>
    </w:rPr>
  </w:style>
  <w:style w:type="paragraph" w:styleId="af9">
    <w:name w:val="endnote text"/>
    <w:basedOn w:val="a"/>
    <w:link w:val="afa"/>
    <w:uiPriority w:val="99"/>
    <w:semiHidden/>
    <w:unhideWhenUsed/>
    <w:rsid w:val="00FB0B40"/>
    <w:pPr>
      <w:spacing w:after="0" w:line="240" w:lineRule="auto"/>
    </w:pPr>
    <w:rPr>
      <w:sz w:val="20"/>
      <w:szCs w:val="20"/>
    </w:rPr>
  </w:style>
  <w:style w:type="character" w:customStyle="1" w:styleId="afa">
    <w:name w:val="Текст концевой сноски Знак"/>
    <w:basedOn w:val="a0"/>
    <w:link w:val="af9"/>
    <w:uiPriority w:val="99"/>
    <w:semiHidden/>
    <w:rsid w:val="00FB0B40"/>
    <w:rPr>
      <w:sz w:val="20"/>
      <w:szCs w:val="20"/>
    </w:rPr>
  </w:style>
  <w:style w:type="character" w:styleId="afb">
    <w:name w:val="endnote reference"/>
    <w:basedOn w:val="a0"/>
    <w:uiPriority w:val="99"/>
    <w:semiHidden/>
    <w:unhideWhenUsed/>
    <w:rsid w:val="00FB0B40"/>
    <w:rPr>
      <w:vertAlign w:val="superscript"/>
    </w:rPr>
  </w:style>
  <w:style w:type="character" w:customStyle="1" w:styleId="notranslate">
    <w:name w:val="notranslate"/>
    <w:basedOn w:val="a0"/>
    <w:rsid w:val="001C0E92"/>
  </w:style>
  <w:style w:type="paragraph" w:styleId="afc">
    <w:name w:val="header"/>
    <w:basedOn w:val="a"/>
    <w:link w:val="afd"/>
    <w:uiPriority w:val="99"/>
    <w:unhideWhenUsed/>
    <w:rsid w:val="00645C75"/>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645C75"/>
  </w:style>
  <w:style w:type="paragraph" w:styleId="afe">
    <w:name w:val="footer"/>
    <w:basedOn w:val="a"/>
    <w:link w:val="aff"/>
    <w:uiPriority w:val="99"/>
    <w:unhideWhenUsed/>
    <w:rsid w:val="00645C75"/>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45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9267">
      <w:bodyDiv w:val="1"/>
      <w:marLeft w:val="0"/>
      <w:marRight w:val="0"/>
      <w:marTop w:val="0"/>
      <w:marBottom w:val="0"/>
      <w:divBdr>
        <w:top w:val="none" w:sz="0" w:space="0" w:color="auto"/>
        <w:left w:val="none" w:sz="0" w:space="0" w:color="auto"/>
        <w:bottom w:val="none" w:sz="0" w:space="0" w:color="auto"/>
        <w:right w:val="none" w:sz="0" w:space="0" w:color="auto"/>
      </w:divBdr>
    </w:div>
    <w:div w:id="894900621">
      <w:bodyDiv w:val="1"/>
      <w:marLeft w:val="0"/>
      <w:marRight w:val="0"/>
      <w:marTop w:val="0"/>
      <w:marBottom w:val="0"/>
      <w:divBdr>
        <w:top w:val="none" w:sz="0" w:space="0" w:color="auto"/>
        <w:left w:val="none" w:sz="0" w:space="0" w:color="auto"/>
        <w:bottom w:val="none" w:sz="0" w:space="0" w:color="auto"/>
        <w:right w:val="none" w:sz="0" w:space="0" w:color="auto"/>
      </w:divBdr>
    </w:div>
    <w:div w:id="1289773099">
      <w:bodyDiv w:val="1"/>
      <w:marLeft w:val="0"/>
      <w:marRight w:val="0"/>
      <w:marTop w:val="0"/>
      <w:marBottom w:val="0"/>
      <w:divBdr>
        <w:top w:val="none" w:sz="0" w:space="0" w:color="auto"/>
        <w:left w:val="none" w:sz="0" w:space="0" w:color="auto"/>
        <w:bottom w:val="none" w:sz="0" w:space="0" w:color="auto"/>
        <w:right w:val="none" w:sz="0" w:space="0" w:color="auto"/>
      </w:divBdr>
    </w:div>
    <w:div w:id="1373993272">
      <w:bodyDiv w:val="1"/>
      <w:marLeft w:val="0"/>
      <w:marRight w:val="0"/>
      <w:marTop w:val="0"/>
      <w:marBottom w:val="0"/>
      <w:divBdr>
        <w:top w:val="none" w:sz="0" w:space="0" w:color="auto"/>
        <w:left w:val="none" w:sz="0" w:space="0" w:color="auto"/>
        <w:bottom w:val="none" w:sz="0" w:space="0" w:color="auto"/>
        <w:right w:val="none" w:sz="0" w:space="0" w:color="auto"/>
      </w:divBdr>
    </w:div>
    <w:div w:id="1732803397">
      <w:bodyDiv w:val="1"/>
      <w:marLeft w:val="0"/>
      <w:marRight w:val="0"/>
      <w:marTop w:val="0"/>
      <w:marBottom w:val="0"/>
      <w:divBdr>
        <w:top w:val="none" w:sz="0" w:space="0" w:color="auto"/>
        <w:left w:val="none" w:sz="0" w:space="0" w:color="auto"/>
        <w:bottom w:val="none" w:sz="0" w:space="0" w:color="auto"/>
        <w:right w:val="none" w:sz="0" w:space="0" w:color="auto"/>
      </w:divBdr>
    </w:div>
    <w:div w:id="1769109658">
      <w:bodyDiv w:val="1"/>
      <w:marLeft w:val="0"/>
      <w:marRight w:val="0"/>
      <w:marTop w:val="0"/>
      <w:marBottom w:val="0"/>
      <w:divBdr>
        <w:top w:val="none" w:sz="0" w:space="0" w:color="auto"/>
        <w:left w:val="none" w:sz="0" w:space="0" w:color="auto"/>
        <w:bottom w:val="none" w:sz="0" w:space="0" w:color="auto"/>
        <w:right w:val="none" w:sz="0" w:space="0" w:color="auto"/>
      </w:divBdr>
    </w:div>
    <w:div w:id="1934825699">
      <w:bodyDiv w:val="1"/>
      <w:marLeft w:val="0"/>
      <w:marRight w:val="0"/>
      <w:marTop w:val="0"/>
      <w:marBottom w:val="0"/>
      <w:divBdr>
        <w:top w:val="none" w:sz="0" w:space="0" w:color="auto"/>
        <w:left w:val="none" w:sz="0" w:space="0" w:color="auto"/>
        <w:bottom w:val="none" w:sz="0" w:space="0" w:color="auto"/>
        <w:right w:val="none" w:sz="0" w:space="0" w:color="auto"/>
      </w:divBdr>
      <w:divsChild>
        <w:div w:id="10644435">
          <w:marLeft w:val="0"/>
          <w:marRight w:val="0"/>
          <w:marTop w:val="0"/>
          <w:marBottom w:val="0"/>
          <w:divBdr>
            <w:top w:val="none" w:sz="0" w:space="0" w:color="auto"/>
            <w:left w:val="none" w:sz="0" w:space="0" w:color="auto"/>
            <w:bottom w:val="none" w:sz="0" w:space="0" w:color="auto"/>
            <w:right w:val="none" w:sz="0" w:space="0" w:color="auto"/>
          </w:divBdr>
          <w:divsChild>
            <w:div w:id="2016767444">
              <w:marLeft w:val="0"/>
              <w:marRight w:val="0"/>
              <w:marTop w:val="0"/>
              <w:marBottom w:val="0"/>
              <w:divBdr>
                <w:top w:val="none" w:sz="0" w:space="0" w:color="auto"/>
                <w:left w:val="none" w:sz="0" w:space="0" w:color="auto"/>
                <w:bottom w:val="none" w:sz="0" w:space="0" w:color="auto"/>
                <w:right w:val="none" w:sz="0" w:space="0" w:color="auto"/>
              </w:divBdr>
            </w:div>
          </w:divsChild>
        </w:div>
        <w:div w:id="127479883">
          <w:marLeft w:val="0"/>
          <w:marRight w:val="0"/>
          <w:marTop w:val="0"/>
          <w:marBottom w:val="0"/>
          <w:divBdr>
            <w:top w:val="none" w:sz="0" w:space="0" w:color="auto"/>
            <w:left w:val="none" w:sz="0" w:space="0" w:color="auto"/>
            <w:bottom w:val="none" w:sz="0" w:space="0" w:color="auto"/>
            <w:right w:val="none" w:sz="0" w:space="0" w:color="auto"/>
          </w:divBdr>
          <w:divsChild>
            <w:div w:id="680741850">
              <w:marLeft w:val="0"/>
              <w:marRight w:val="0"/>
              <w:marTop w:val="0"/>
              <w:marBottom w:val="0"/>
              <w:divBdr>
                <w:top w:val="none" w:sz="0" w:space="0" w:color="auto"/>
                <w:left w:val="none" w:sz="0" w:space="0" w:color="auto"/>
                <w:bottom w:val="none" w:sz="0" w:space="0" w:color="auto"/>
                <w:right w:val="none" w:sz="0" w:space="0" w:color="auto"/>
              </w:divBdr>
            </w:div>
          </w:divsChild>
        </w:div>
        <w:div w:id="1028024847">
          <w:marLeft w:val="0"/>
          <w:marRight w:val="0"/>
          <w:marTop w:val="0"/>
          <w:marBottom w:val="0"/>
          <w:divBdr>
            <w:top w:val="none" w:sz="0" w:space="0" w:color="auto"/>
            <w:left w:val="none" w:sz="0" w:space="0" w:color="auto"/>
            <w:bottom w:val="none" w:sz="0" w:space="0" w:color="auto"/>
            <w:right w:val="none" w:sz="0" w:space="0" w:color="auto"/>
          </w:divBdr>
          <w:divsChild>
            <w:div w:id="826290201">
              <w:marLeft w:val="0"/>
              <w:marRight w:val="0"/>
              <w:marTop w:val="0"/>
              <w:marBottom w:val="0"/>
              <w:divBdr>
                <w:top w:val="none" w:sz="0" w:space="0" w:color="auto"/>
                <w:left w:val="none" w:sz="0" w:space="0" w:color="auto"/>
                <w:bottom w:val="none" w:sz="0" w:space="0" w:color="auto"/>
                <w:right w:val="none" w:sz="0" w:space="0" w:color="auto"/>
              </w:divBdr>
            </w:div>
          </w:divsChild>
        </w:div>
        <w:div w:id="1245802771">
          <w:marLeft w:val="0"/>
          <w:marRight w:val="0"/>
          <w:marTop w:val="0"/>
          <w:marBottom w:val="0"/>
          <w:divBdr>
            <w:top w:val="none" w:sz="0" w:space="0" w:color="auto"/>
            <w:left w:val="none" w:sz="0" w:space="0" w:color="auto"/>
            <w:bottom w:val="none" w:sz="0" w:space="0" w:color="auto"/>
            <w:right w:val="none" w:sz="0" w:space="0" w:color="auto"/>
          </w:divBdr>
          <w:divsChild>
            <w:div w:id="1802067603">
              <w:marLeft w:val="0"/>
              <w:marRight w:val="0"/>
              <w:marTop w:val="0"/>
              <w:marBottom w:val="0"/>
              <w:divBdr>
                <w:top w:val="none" w:sz="0" w:space="0" w:color="auto"/>
                <w:left w:val="none" w:sz="0" w:space="0" w:color="auto"/>
                <w:bottom w:val="none" w:sz="0" w:space="0" w:color="auto"/>
                <w:right w:val="none" w:sz="0" w:space="0" w:color="auto"/>
              </w:divBdr>
            </w:div>
          </w:divsChild>
        </w:div>
        <w:div w:id="915825987">
          <w:marLeft w:val="0"/>
          <w:marRight w:val="0"/>
          <w:marTop w:val="0"/>
          <w:marBottom w:val="0"/>
          <w:divBdr>
            <w:top w:val="none" w:sz="0" w:space="0" w:color="auto"/>
            <w:left w:val="none" w:sz="0" w:space="0" w:color="auto"/>
            <w:bottom w:val="none" w:sz="0" w:space="0" w:color="auto"/>
            <w:right w:val="none" w:sz="0" w:space="0" w:color="auto"/>
          </w:divBdr>
          <w:divsChild>
            <w:div w:id="3255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27645/" TargetMode="External"/><Relationship Id="rId13" Type="http://schemas.openxmlformats.org/officeDocument/2006/relationships/image" Target="media/image1.jpeg"/><Relationship Id="rId18" Type="http://schemas.openxmlformats.org/officeDocument/2006/relationships/hyperlink" Target="https://www.europarl.europa.eu/RegData/etudes/BRIE/2021/654213/EPRS_BRI(2021)654213_EN.pdf" TargetMode="External"/><Relationship Id="rId26" Type="http://schemas.openxmlformats.org/officeDocument/2006/relationships/hyperlink" Target="https://www.azeusconvene.com/articles/navigating-through-sgx-esg-disclosure-requirements" TargetMode="External"/><Relationship Id="rId3" Type="http://schemas.openxmlformats.org/officeDocument/2006/relationships/styles" Target="styles.xml"/><Relationship Id="rId21" Type="http://schemas.openxmlformats.org/officeDocument/2006/relationships/hyperlink" Target="https://www.iaasb.org/focus-areas/sustainability-assurance" TargetMode="External"/><Relationship Id="rId7" Type="http://schemas.openxmlformats.org/officeDocument/2006/relationships/endnotes" Target="endnotes.xml"/><Relationship Id="rId12" Type="http://schemas.openxmlformats.org/officeDocument/2006/relationships/hyperlink" Target="http://publication.pravo.gov.ru/Document/View/0001202109240043" TargetMode="External"/><Relationship Id="rId17" Type="http://schemas.openxmlformats.org/officeDocument/2006/relationships/hyperlink" Target="https://finance.ec.europa.eu/capital-markets-union-and-financial-markets/company-reporting-and-auditing/company-reporting/corporate-sustainability-reporting_en" TargetMode="External"/><Relationship Id="rId25" Type="http://schemas.openxmlformats.org/officeDocument/2006/relationships/hyperlink" Target="https://bschool.nus.edu.sg/cgs/wp-content/uploads/sites/7/2021/07/ACN-CGS-Corporate-Sustainability-Reporting-in-ASEAN-Countries-Report-2020.pdf" TargetMode="External"/><Relationship Id="rId2" Type="http://schemas.openxmlformats.org/officeDocument/2006/relationships/numbering" Target="numbering.xml"/><Relationship Id="rId16" Type="http://schemas.openxmlformats.org/officeDocument/2006/relationships/hyperlink" Target="consultantplus://offline/ref=334C2A52FB9A5CD1FE078DCCA4CD008033BC225F41C226AAA48396516596538D1149D87FADF71283A777EEA656gAL0K" TargetMode="External"/><Relationship Id="rId20" Type="http://schemas.openxmlformats.org/officeDocument/2006/relationships/hyperlink" Target="https://www.degruyter.com/document/doi/10.1515/ael-2018-0050/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ation.pravo.gov.ru/Document/View/0001202011200033?index=1&amp;rangeSize=1" TargetMode="External"/><Relationship Id="rId24" Type="http://schemas.openxmlformats.org/officeDocument/2006/relationships/hyperlink" Target="https://www.ifac.org/system/files/publications/files/IFAC-State-of-Play-in-Sustainability-Reporting-and-Assurance-2019-2020-date.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accountancyeurope.eu/wp-content/uploads/Accountancy-Europe-NFI-assurance-practice_facthseet.pdf" TargetMode="External"/><Relationship Id="rId28" Type="http://schemas.openxmlformats.org/officeDocument/2006/relationships/hyperlink" Target="https://www.jse.co.za/our-business/sustainability/jses-sustainability-and-climate-disclosure-guidance" TargetMode="External"/><Relationship Id="rId10" Type="http://schemas.openxmlformats.org/officeDocument/2006/relationships/hyperlink" Target="https://docs.cntd.ru/document/566305944" TargetMode="External"/><Relationship Id="rId19" Type="http://schemas.openxmlformats.org/officeDocument/2006/relationships/hyperlink" Target="https://www.datamaran.com/non-financial-reporting-directiv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4B326ADCE3BEE57254FE8264ABE2BE4B11DB3BF3DAEB4B706F2907F4899DA4BCEB063E041B4E389695E540C55y7m7L" TargetMode="External"/><Relationship Id="rId14" Type="http://schemas.openxmlformats.org/officeDocument/2006/relationships/image" Target="media/image2.png"/><Relationship Id="rId22" Type="http://schemas.openxmlformats.org/officeDocument/2006/relationships/hyperlink" Target="https://papers.ssrn.com/sol3/papers.cfm?abstract_id=3083368" TargetMode="External"/><Relationship Id="rId27" Type="http://schemas.openxmlformats.org/officeDocument/2006/relationships/hyperlink" Target="http://rulebook.sgx.com/rulebook/711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E067-6804-4D26-9807-9B7B03CE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Pacioli</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Юлия Викторовна</dc:creator>
  <cp:lastModifiedBy>Ольга А. Носова</cp:lastModifiedBy>
  <cp:revision>2</cp:revision>
  <cp:lastPrinted>2022-12-20T12:18:00Z</cp:lastPrinted>
  <dcterms:created xsi:type="dcterms:W3CDTF">2022-12-27T17:33:00Z</dcterms:created>
  <dcterms:modified xsi:type="dcterms:W3CDTF">2022-12-27T17:33:00Z</dcterms:modified>
</cp:coreProperties>
</file>